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LITERE</w:t>
      </w:r>
    </w:p>
    <w:p>
      <w:pPr>
        <w:spacing w:after="0" w:before="60"/>
        <w:ind w:firstLine="0"/>
        <w:jc w:val="center"/>
      </w:pPr>
      <w:r>
        <w:rPr>
          <w:b w:val="false"/>
          <w:bCs w:val="false"/>
          <w:i w:val="false"/>
          <w:iCs w:val="false"/>
        </w:rPr>
        <w:t xml:space="preserve">Programul de studii: Traducere și Interpretare (română – engleză)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Traducerea elementelor culturale specifice într-un roman</w:t>
      </w:r>
    </w:p>
    <w:p>
      <w:pPr>
        <w:spacing w:after="0" w:before="120"/>
        <w:ind w:firstLine="0"/>
        <w:jc w:val="center"/>
      </w:pPr>
      <w:r>
        <w:rPr>
          <w:b w:val="false"/>
          <w:bCs w:val="false"/>
          <w:i/>
          <w:iCs/>
          <w:sz w:val="24"/>
          <w:szCs w:val="24"/>
        </w:rPr>
        <w:t xml:space="preserve">Analiza versiunii engleze a romanului „Ulița cu salcâmi” (text fictiv)</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Adrian Pop (nume fictiv)</w:t>
      </w:r>
    </w:p>
    <w:p>
      <w:pPr>
        <w:spacing w:before="300"/>
        <w:ind w:firstLine="0"/>
        <w:jc w:val="right"/>
      </w:pPr>
      <w:r>
        <w:rPr>
          <w:b/>
          <w:bCs/>
        </w:rPr>
        <w:t xml:space="preserve">Absolvent:</w:t>
      </w:r>
    </w:p>
    <w:p>
      <w:pPr>
        <w:ind w:firstLine="0"/>
        <w:jc w:val="right"/>
      </w:pPr>
      <w:r>
        <w:t xml:space="preserve">Bianca Toma (nume fictiv)</w:t>
      </w:r>
    </w:p>
    <w:p>
      <w:pPr>
        <w:spacing w:after="0" w:before="1800"/>
        <w:ind w:firstLine="0"/>
        <w:jc w:val="center"/>
      </w:pPr>
      <w:r>
        <w:rPr>
          <w:b/>
          <w:bCs/>
          <w:i w:val="false"/>
          <w:iCs w:val="false"/>
        </w:rPr>
        <w:t xml:space="preserve">TIMIȘOARA,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Bianca Toma</w:t>
      </w:r>
      <w:r>
        <w:t xml:space="preserve">, absolvent(ă) al(a) programului de studii Traducere și Interpretare (română – engleză), declar pe propria răspundere că lucrarea de licență cu titlul „Traducerea elementelor culturale specifice într-un roman”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teoretic</w:t>
      </w:r>
      <w:r>
        <w:t xml:space="preserve">	7</w:t>
      </w:r>
    </w:p>
    <w:p>
      <w:pPr>
        <w:tabs>
          <w:tab w:val="right" w:pos="9026" w:leader="dot"/>
        </w:tabs>
        <w:spacing w:after="40" w:line="300"/>
        <w:ind w:left="400" w:firstLine="0"/>
        <w:jc w:val="left"/>
      </w:pPr>
      <w:r>
        <w:rPr>
          <w:b w:val="false"/>
          <w:bCs w:val="false"/>
        </w:rPr>
        <w:t xml:space="preserve">1.1. Elementele culturale specifice</w:t>
      </w:r>
      <w:r>
        <w:t xml:space="preserve">	7</w:t>
      </w:r>
    </w:p>
    <w:p>
      <w:pPr>
        <w:tabs>
          <w:tab w:val="right" w:pos="9026" w:leader="dot"/>
        </w:tabs>
        <w:spacing w:after="40" w:line="300"/>
        <w:ind w:left="400" w:firstLine="0"/>
        <w:jc w:val="left"/>
      </w:pPr>
      <w:r>
        <w:rPr>
          <w:b w:val="false"/>
          <w:bCs w:val="false"/>
        </w:rPr>
        <w:t xml:space="preserve">1.2. Procedeele de traducere</w:t>
      </w:r>
      <w:r>
        <w:t xml:space="preserve">	7</w:t>
      </w:r>
    </w:p>
    <w:p>
      <w:pPr>
        <w:tabs>
          <w:tab w:val="right" w:pos="9026" w:leader="dot"/>
        </w:tabs>
        <w:spacing w:after="40" w:line="300"/>
        <w:ind w:left="400" w:firstLine="0"/>
        <w:jc w:val="left"/>
      </w:pPr>
      <w:r>
        <w:rPr>
          <w:b w:val="false"/>
          <w:bCs w:val="false"/>
        </w:rPr>
        <w:t xml:space="preserve">1.3. Străinizare și domesticire</w:t>
      </w:r>
      <w:r>
        <w:t xml:space="preserve">	7</w:t>
      </w:r>
    </w:p>
    <w:p>
      <w:pPr>
        <w:tabs>
          <w:tab w:val="right" w:pos="9026" w:leader="dot"/>
        </w:tabs>
        <w:spacing w:after="40" w:line="300"/>
        <w:ind w:left="0" w:firstLine="0"/>
        <w:jc w:val="left"/>
      </w:pPr>
      <w:r>
        <w:rPr>
          <w:b/>
          <w:bCs/>
        </w:rPr>
        <w:t xml:space="preserve">Capitolul 2. Analiza corpusului</w:t>
      </w:r>
      <w:r>
        <w:t xml:space="preserve">	8</w:t>
      </w:r>
    </w:p>
    <w:p>
      <w:pPr>
        <w:tabs>
          <w:tab w:val="right" w:pos="9026" w:leader="dot"/>
        </w:tabs>
        <w:spacing w:after="40" w:line="300"/>
        <w:ind w:left="400" w:firstLine="0"/>
        <w:jc w:val="left"/>
      </w:pPr>
      <w:r>
        <w:rPr>
          <w:b w:val="false"/>
          <w:bCs w:val="false"/>
        </w:rPr>
        <w:t xml:space="preserve">2.1. Corpusul și metoda</w:t>
      </w:r>
      <w:r>
        <w:t xml:space="preserve">	8</w:t>
      </w:r>
    </w:p>
    <w:p>
      <w:pPr>
        <w:tabs>
          <w:tab w:val="right" w:pos="9026" w:leader="dot"/>
        </w:tabs>
        <w:spacing w:after="40" w:line="300"/>
        <w:ind w:left="400" w:firstLine="0"/>
        <w:jc w:val="left"/>
      </w:pPr>
      <w:r>
        <w:rPr>
          <w:b w:val="false"/>
          <w:bCs w:val="false"/>
        </w:rPr>
        <w:t xml:space="preserve">2.2. Categoriile de elemente culturale</w:t>
      </w:r>
      <w:r>
        <w:t xml:space="preserve">	8</w:t>
      </w:r>
    </w:p>
    <w:p>
      <w:pPr>
        <w:tabs>
          <w:tab w:val="right" w:pos="9026" w:leader="dot"/>
        </w:tabs>
        <w:spacing w:after="40" w:line="300"/>
        <w:ind w:left="400" w:firstLine="0"/>
        <w:jc w:val="left"/>
      </w:pPr>
      <w:r>
        <w:rPr>
          <w:b w:val="false"/>
          <w:bCs w:val="false"/>
        </w:rPr>
        <w:t xml:space="preserve">2.3. Procedeele de traducere</w:t>
      </w:r>
      <w:r>
        <w:t xml:space="preserve">	9</w:t>
      </w:r>
    </w:p>
    <w:p>
      <w:pPr>
        <w:tabs>
          <w:tab w:val="right" w:pos="9026" w:leader="dot"/>
        </w:tabs>
        <w:spacing w:after="40" w:line="300"/>
        <w:ind w:left="400" w:firstLine="0"/>
        <w:jc w:val="left"/>
      </w:pPr>
      <w:r>
        <w:rPr>
          <w:b w:val="false"/>
          <w:bCs w:val="false"/>
        </w:rPr>
        <w:t xml:space="preserve">2.4. Exemple comentate</w:t>
      </w:r>
      <w:r>
        <w:t xml:space="preserve">	10</w:t>
      </w:r>
    </w:p>
    <w:p>
      <w:pPr>
        <w:tabs>
          <w:tab w:val="right" w:pos="9026" w:leader="dot"/>
        </w:tabs>
        <w:spacing w:after="40" w:line="300"/>
        <w:ind w:left="0" w:firstLine="0"/>
        <w:jc w:val="left"/>
      </w:pPr>
      <w:r>
        <w:rPr>
          <w:b/>
          <w:bCs/>
        </w:rPr>
        <w:t xml:space="preserve">Capitolul 3. Interpretare și evaluare</w:t>
      </w:r>
      <w:r>
        <w:t xml:space="preserve">	11</w:t>
      </w:r>
    </w:p>
    <w:p>
      <w:pPr>
        <w:tabs>
          <w:tab w:val="right" w:pos="9026" w:leader="dot"/>
        </w:tabs>
        <w:spacing w:after="40" w:line="300"/>
        <w:ind w:left="400" w:firstLine="0"/>
        <w:jc w:val="left"/>
      </w:pPr>
      <w:r>
        <w:rPr>
          <w:b w:val="false"/>
          <w:bCs w:val="false"/>
        </w:rPr>
        <w:t xml:space="preserve">3.1. Strategia dominantă</w:t>
      </w:r>
      <w:r>
        <w:t xml:space="preserve">	11</w:t>
      </w:r>
    </w:p>
    <w:p>
      <w:pPr>
        <w:tabs>
          <w:tab w:val="right" w:pos="9026" w:leader="dot"/>
        </w:tabs>
        <w:spacing w:after="40" w:line="300"/>
        <w:ind w:left="400" w:firstLine="0"/>
        <w:jc w:val="left"/>
      </w:pPr>
      <w:r>
        <w:rPr>
          <w:b w:val="false"/>
          <w:bCs w:val="false"/>
        </w:rPr>
        <w:t xml:space="preserve">3.2. Evaluarea soluțiilor</w:t>
      </w:r>
      <w:r>
        <w:t xml:space="preserve">	11</w:t>
      </w:r>
    </w:p>
    <w:p>
      <w:pPr>
        <w:tabs>
          <w:tab w:val="right" w:pos="9026" w:leader="dot"/>
        </w:tabs>
        <w:spacing w:after="40" w:line="300"/>
        <w:ind w:left="400" w:firstLine="0"/>
        <w:jc w:val="left"/>
      </w:pPr>
      <w:r>
        <w:rPr>
          <w:b w:val="false"/>
          <w:bCs w:val="false"/>
        </w:rPr>
        <w:t xml:space="preserve">3.3. Propunerile autoarei</w:t>
      </w:r>
      <w:r>
        <w:t xml:space="preserve">	12</w:t>
      </w:r>
    </w:p>
    <w:p>
      <w:pPr>
        <w:tabs>
          <w:tab w:val="right" w:pos="9026" w:leader="dot"/>
        </w:tabs>
        <w:spacing w:after="40" w:line="300"/>
        <w:ind w:left="0" w:firstLine="0"/>
        <w:jc w:val="left"/>
      </w:pPr>
      <w:r>
        <w:rPr>
          <w:b/>
          <w:bCs/>
        </w:rPr>
        <w:t xml:space="preserve">Concluzii</w:t>
      </w:r>
      <w:r>
        <w:t xml:space="preserve">	13</w:t>
      </w:r>
    </w:p>
    <w:p>
      <w:pPr>
        <w:tabs>
          <w:tab w:val="right" w:pos="9026" w:leader="dot"/>
        </w:tabs>
        <w:spacing w:after="40" w:line="300"/>
        <w:ind w:left="0" w:firstLine="0"/>
        <w:jc w:val="left"/>
      </w:pPr>
      <w:r>
        <w:rPr>
          <w:b/>
          <w:bCs/>
        </w:rPr>
        <w:t xml:space="preserve">Lucrări citate</w:t>
      </w:r>
      <w:r>
        <w:t xml:space="preserve">	14</w:t>
      </w:r>
    </w:p>
    <w:p>
      <w:pPr>
        <w:tabs>
          <w:tab w:val="right" w:pos="9026" w:leader="dot"/>
        </w:tabs>
        <w:spacing w:after="40" w:line="300"/>
        <w:ind w:left="0" w:firstLine="0"/>
        <w:jc w:val="left"/>
      </w:pPr>
      <w:r>
        <w:rPr>
          <w:b/>
          <w:bCs/>
        </w:rPr>
        <w:t xml:space="preserve">Anexa 1. Fișa de analiză a unui element cultural</w:t>
      </w:r>
      <w:r>
        <w:t xml:space="preserve">	15</w:t>
      </w:r>
    </w:p>
    <w:p>
      <w:pPr>
        <w:tabs>
          <w:tab w:val="right" w:pos="9026" w:leader="dot"/>
        </w:tabs>
        <w:spacing w:after="40" w:line="300"/>
        <w:ind w:left="0" w:firstLine="0"/>
        <w:jc w:val="left"/>
      </w:pPr>
      <w:r>
        <w:rPr>
          <w:b/>
          <w:bCs/>
        </w:rPr>
        <w:t xml:space="preserve">Bonus: același paragraf, înainte și după corectare</w:t>
      </w:r>
      <w:r>
        <w:t xml:space="preserve">	16</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Etapele analizei</w:t>
      </w:r>
      <w:r>
        <w:t xml:space="preserve">	8</w:t>
      </w:r>
    </w:p>
    <w:p>
      <w:pPr>
        <w:tabs>
          <w:tab w:val="right" w:pos="9026" w:leader="dot"/>
        </w:tabs>
        <w:spacing w:after="40" w:line="300"/>
        <w:ind w:left="0" w:firstLine="0"/>
        <w:jc w:val="left"/>
      </w:pPr>
      <w:r>
        <w:rPr>
          <w:b w:val="false"/>
          <w:bCs w:val="false"/>
        </w:rPr>
        <w:t xml:space="preserve">Figura 2. Frecvența procedeelor de traducere (număr de elemente)</w:t>
      </w:r>
      <w:r>
        <w:t xml:space="preserve">	9</w:t>
      </w:r>
    </w:p>
    <w:p>
      <w:pPr>
        <w:tabs>
          <w:tab w:val="right" w:pos="9026" w:leader="dot"/>
        </w:tabs>
        <w:spacing w:after="40" w:line="300"/>
        <w:ind w:left="0" w:firstLine="0"/>
        <w:jc w:val="left"/>
      </w:pPr>
      <w:r>
        <w:rPr>
          <w:b w:val="false"/>
          <w:bCs w:val="false"/>
        </w:rPr>
        <w:t xml:space="preserve">Figura 3. Procedeele de traducere în fiecare categorie de elemente culturale</w:t>
      </w:r>
      <w:r>
        <w:t xml:space="preserve">	10</w:t>
      </w:r>
    </w:p>
    <w:p>
      <w:pPr>
        <w:tabs>
          <w:tab w:val="right" w:pos="9026" w:leader="dot"/>
        </w:tabs>
        <w:spacing w:after="40" w:line="300"/>
        <w:ind w:left="0" w:firstLine="0"/>
        <w:jc w:val="left"/>
      </w:pPr>
      <w:r>
        <w:rPr>
          <w:b w:val="false"/>
          <w:bCs w:val="false"/>
        </w:rPr>
        <w:t xml:space="preserve">Figura 4. Procedeele de traducere, grupate pe cele două orientări</w:t>
      </w:r>
      <w:r>
        <w:t xml:space="preserve">	11</w:t>
      </w:r>
    </w:p>
    <w:p>
      <w:pPr>
        <w:tabs>
          <w:tab w:val="right" w:pos="9026" w:leader="dot"/>
        </w:tabs>
        <w:spacing w:after="40" w:line="300"/>
        <w:ind w:left="0" w:firstLine="0"/>
        <w:jc w:val="left"/>
      </w:pPr>
      <w:r>
        <w:rPr>
          <w:b w:val="false"/>
          <w:bCs w:val="false"/>
        </w:rPr>
        <w:t xml:space="preserve">Figura 5. Ponderea celor două orientări în traducere (%)</w:t>
      </w:r>
      <w:r>
        <w:t xml:space="preserve">	11</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Procedeele de traducere urmărite în analiză</w:t>
      </w:r>
      <w:r>
        <w:t xml:space="preserve">	7</w:t>
      </w:r>
    </w:p>
    <w:p>
      <w:pPr>
        <w:tabs>
          <w:tab w:val="right" w:pos="9026" w:leader="dot"/>
        </w:tabs>
        <w:spacing w:after="40" w:line="300"/>
        <w:ind w:left="0" w:firstLine="0"/>
        <w:jc w:val="left"/>
      </w:pPr>
      <w:r>
        <w:rPr>
          <w:b w:val="false"/>
          <w:bCs w:val="false"/>
        </w:rPr>
        <w:t xml:space="preserve">Tabelul 2. Corpusul analizat (texte fictive)</w:t>
      </w:r>
      <w:r>
        <w:t xml:space="preserve">	8</w:t>
      </w:r>
    </w:p>
    <w:p>
      <w:pPr>
        <w:tabs>
          <w:tab w:val="right" w:pos="9026" w:leader="dot"/>
        </w:tabs>
        <w:spacing w:after="40" w:line="300"/>
        <w:ind w:left="0" w:firstLine="0"/>
        <w:jc w:val="left"/>
      </w:pPr>
      <w:r>
        <w:rPr>
          <w:b w:val="false"/>
          <w:bCs w:val="false"/>
        </w:rPr>
        <w:t xml:space="preserve">Tabelul 3. Elementele culturale specifice din corpus, pe categorii</w:t>
      </w:r>
      <w:r>
        <w:t xml:space="preserve">	8</w:t>
      </w:r>
    </w:p>
    <w:p>
      <w:pPr>
        <w:tabs>
          <w:tab w:val="right" w:pos="9026" w:leader="dot"/>
        </w:tabs>
        <w:spacing w:after="40" w:line="300"/>
        <w:ind w:left="0" w:firstLine="0"/>
        <w:jc w:val="left"/>
      </w:pPr>
      <w:r>
        <w:rPr>
          <w:b w:val="false"/>
          <w:bCs w:val="false"/>
        </w:rPr>
        <w:t xml:space="preserve">Tabelul 4. Frecvența procedeelor de traducere</w:t>
      </w:r>
      <w:r>
        <w:t xml:space="preserve">	9</w:t>
      </w:r>
    </w:p>
    <w:p>
      <w:pPr>
        <w:tabs>
          <w:tab w:val="right" w:pos="9026" w:leader="dot"/>
        </w:tabs>
        <w:spacing w:after="40" w:line="300"/>
        <w:ind w:left="0" w:firstLine="0"/>
        <w:jc w:val="left"/>
      </w:pPr>
      <w:r>
        <w:rPr>
          <w:b w:val="false"/>
          <w:bCs w:val="false"/>
        </w:rPr>
        <w:t xml:space="preserve">Tabelul 5. Procedeele de traducere, pe categorii de elemente culturale (număr)</w:t>
      </w:r>
      <w:r>
        <w:t xml:space="preserve">	9</w:t>
      </w:r>
    </w:p>
    <w:p>
      <w:pPr>
        <w:tabs>
          <w:tab w:val="right" w:pos="9026" w:leader="dot"/>
        </w:tabs>
        <w:spacing w:after="40" w:line="300"/>
        <w:ind w:left="0" w:firstLine="0"/>
        <w:jc w:val="left"/>
      </w:pPr>
      <w:r>
        <w:rPr>
          <w:b w:val="false"/>
          <w:bCs w:val="false"/>
        </w:rPr>
        <w:t xml:space="preserve">Tabelul 6. Exemple din corpus, în format paralel (fragmente inventate)</w:t>
      </w:r>
      <w:r>
        <w:t xml:space="preserve">	10</w:t>
      </w:r>
    </w:p>
    <w:p>
      <w:pPr>
        <w:tabs>
          <w:tab w:val="right" w:pos="9026" w:leader="dot"/>
        </w:tabs>
        <w:spacing w:after="40" w:line="300"/>
        <w:ind w:left="0" w:firstLine="0"/>
        <w:jc w:val="left"/>
      </w:pPr>
      <w:r>
        <w:rPr>
          <w:b w:val="false"/>
          <w:bCs w:val="false"/>
        </w:rPr>
        <w:t xml:space="preserve">Tabelul 7. Evaluarea soluțiilor de traducere, pe procedee (număr)</w:t>
      </w:r>
      <w:r>
        <w:t xml:space="preserve">	12</w:t>
      </w:r>
    </w:p>
    <w:p>
      <w:pPr>
        <w:tabs>
          <w:tab w:val="right" w:pos="9026" w:leader="dot"/>
        </w:tabs>
        <w:spacing w:after="40" w:line="300"/>
        <w:ind w:left="0" w:firstLine="0"/>
        <w:jc w:val="left"/>
      </w:pPr>
      <w:r>
        <w:rPr>
          <w:b w:val="false"/>
          <w:bCs w:val="false"/>
        </w:rPr>
        <w:t xml:space="preserve">Tabelul 8. Propuneri alternative ale autoarei pentru soluțiile evaluate critic</w:t>
      </w:r>
      <w:r>
        <w:t xml:space="preserve">	12</w:t>
      </w:r>
    </w:p>
    <w:p>
      <w:pPr>
        <w:pStyle w:val="Heading1"/>
        <w:pageBreakBefore/>
      </w:pPr>
      <w:commentRangeStart w:id="3"/>
      <w:r>
        <w:t xml:space="preserve">Rezumat</w:t>
      </w:r>
      <w:commentRangeEnd w:id="3"/>
      <w:r>
        <w:commentReference w:id="3"/>
      </w:r>
    </w:p>
    <w:p>
      <w:r>
        <w:t xml:space="preserve">Lucrarea analizează traducerea în limba engleză a elementelor culturale specifice dintr-un roman românesc, </w:t>
      </w:r>
      <w:r>
        <w:rPr>
          <w:i/>
          <w:iCs/>
        </w:rPr>
        <w:t xml:space="preserve">Ulița cu salcâmi</w:t>
      </w:r>
      <w:r>
        <w:t xml:space="preserve"> (text fictiv, construit pentru exemplu). Pornind de la tipologiile lui Vinay și Darbelnet și Newmark, am identificat 40 de elemente culturale, grupate în cinci categorii, și procedeele folosite de traducător. Adaptarea (25,0%) și împrumutul (22,5%) sunt cele mai frecvente procedee, iar alegerea depinde de categorie: alimentele sunt adesea împrumutate, formele de adresare sunt adaptate sau omise. Domesticirea și străinizarea sunt aproape echilibrate (52,5% și 47,5%). Soluțiile sunt adecvate în 70,0% dintre cazuri, iar pierderile de sens apar mai ales prin omisiune. Lucrarea propune traduceri alternative și o strategie consecventă pentru elementele cu încărcătură simbolică.</w:t>
      </w:r>
    </w:p>
    <w:p>
      <w:pPr>
        <w:spacing w:after="400"/>
        <w:ind w:firstLine="0"/>
        <w:jc w:val="left"/>
      </w:pPr>
      <w:r>
        <w:rPr>
          <w:b/>
          <w:bCs/>
        </w:rPr>
        <w:t xml:space="preserve">Cuvinte-cheie:</w:t>
      </w:r>
      <w:r>
        <w:t xml:space="preserve"> traducere literară, elemente culturale specifice, procedee de traducere, domesticire, străinizare</w:t>
      </w:r>
    </w:p>
    <w:p>
      <w:pPr>
        <w:spacing w:after="200"/>
        <w:ind w:firstLine="0"/>
        <w:jc w:val="center"/>
      </w:pPr>
      <w:r>
        <w:rPr>
          <w:b/>
          <w:bCs/>
          <w:color w:val="16233F"/>
          <w:sz w:val="26"/>
          <w:szCs w:val="26"/>
        </w:rPr>
        <w:t xml:space="preserve">Abstract</w:t>
      </w:r>
    </w:p>
    <w:p>
      <w:r>
        <w:t xml:space="preserve">This thesis examines the English translation of culture-specific items in a Romanian novel, </w:t>
      </w:r>
      <w:r>
        <w:rPr>
          <w:i/>
          <w:iCs/>
        </w:rPr>
        <w:t xml:space="preserve">Ulița cu salcâmi</w:t>
      </w:r>
      <w:r>
        <w:t xml:space="preserve"> (a fictional text created for this example). Drawing on the typologies of Vinay and Darbelnet and of Newmark, it identifies 40 culture-specific items, grouped into five categories, and the procedures used by the translator. Adaptation (25.0%) and borrowing (22.5%) are the most frequent procedures, and the choice depends on the category: food items are often borrowed, while forms of address are adapted or omitted. Domestication and foreignization are almost balanced (52.5% and 47.5%). The solutions are adequate in 70.0% of cases, and loss of meaning occurs mainly through omission. The thesis proposes alternative translations and a consistent strategy for items with symbolic value.</w:t>
      </w:r>
    </w:p>
    <w:p>
      <w:pPr>
        <w:ind w:firstLine="0"/>
        <w:jc w:val="left"/>
      </w:pPr>
      <w:r>
        <w:rPr>
          <w:b/>
          <w:bCs/>
        </w:rPr>
        <w:t xml:space="preserve">Keywords:</w:t>
      </w:r>
      <w:r>
        <w:t xml:space="preserve"> literary translation, culture-specific items, translation procedures, domestication, foreignization</w:t>
      </w:r>
    </w:p>
    <w:p>
      <w:pPr>
        <w:pStyle w:val="Heading1"/>
        <w:pageBreakBefore/>
      </w:pPr>
      <w:commentRangeStart w:id="4"/>
      <w:r>
        <w:t xml:space="preserve">Introducere</w:t>
      </w:r>
      <w:commentRangeEnd w:id="4"/>
      <w:r>
        <w:commentReference w:id="4"/>
      </w:r>
    </w:p>
    <w:p>
      <w:r>
        <w:t xml:space="preserve">Elementele culturale specifice (mâncăruri, obiceiuri, instituții, forme de adresare) sunt printre cele mai dificile probleme ale traducerii literare: ele nu au întotdeauna un echivalent în cultura țintă, iar traducătorul trebuie să aleagă între a le păstra și a le adapta.</w:t>
      </w:r>
    </w:p>
    <w:p>
      <w:r>
        <w:rPr>
          <w:b/>
          <w:bCs/>
        </w:rPr>
        <w:t xml:space="preserve">Întrebarea de cercetare</w:t>
      </w:r>
      <w:r>
        <w:t xml:space="preserve"> este: ce procedee folosește traducătorul pentru a reda elementele culturale specifice din romanul </w:t>
      </w:r>
      <w:r>
        <w:rPr>
          <w:i/>
          <w:iCs/>
        </w:rPr>
        <w:t xml:space="preserve">Ulița cu salcâmi</w:t>
      </w:r>
      <w:r>
        <w:t xml:space="preserve"> în limba engleză și cât de adecvate sunt soluțiile alese? Romanul, autoarea și traducătorul sunt fictivi, construiți pentru acest exemplu.</w:t>
      </w:r>
    </w:p>
    <w:p>
      <w:commentRangeStart w:id="5"/>
      <w:r>
        <w:rPr>
          <w:b/>
          <w:bCs/>
        </w:rPr>
        <w:t xml:space="preserve">Corpusul</w:t>
      </w:r>
      <w:r>
        <w:t xml:space="preserve"> cuprinde 40 de elemente culturale specifice, identificate în textul sursă și aliniate cu echivalentele lor din traducerea engleză.</w:t>
      </w:r>
      <w:commentRangeEnd w:id="5"/>
      <w:r>
        <w:commentReference w:id="5"/>
      </w:r>
    </w:p>
    <w:p>
      <w:pPr>
        <w:pStyle w:val="Heading1"/>
        <w:pageBreakBefore/>
      </w:pPr>
      <w:commentRangeStart w:id="6"/>
      <w:r>
        <w:t xml:space="preserve">Capitolul 1. Cadrul teoretic</w:t>
      </w:r>
      <w:commentRangeEnd w:id="6"/>
      <w:r>
        <w:commentReference w:id="6"/>
      </w:r>
    </w:p>
    <w:p>
      <w:pPr>
        <w:pStyle w:val="Heading2"/>
        <w:keepNext/>
      </w:pPr>
      <w:r>
        <w:t xml:space="preserve">1.1. Elementele culturale specifice</w:t>
      </w:r>
    </w:p>
    <w:p>
      <w:r>
        <w:t xml:space="preserve">În </w:t>
      </w:r>
      <w:r>
        <w:rPr>
          <w:i/>
          <w:iCs/>
        </w:rPr>
        <w:t xml:space="preserve">A Textbook of Translation</w:t>
      </w:r>
      <w:r>
        <w:t xml:space="preserve">, Newmark grupează cuvintele culturale în categorii precum ecologia, cultura materială, cultura socială și organizațiile, obiceiurile și conceptele. Pentru corpusul analizat, aceste categorii au fost adaptate în cinci grupe, prezentate în capitolul 2.</w:t>
      </w:r>
    </w:p>
    <w:p>
      <w:pPr>
        <w:pStyle w:val="Heading2"/>
        <w:keepNext/>
      </w:pPr>
      <w:r>
        <w:t xml:space="preserve">1.2. Procedeele de traducere</w:t>
      </w:r>
    </w:p>
    <w:p>
      <w:r>
        <w:t xml:space="preserve">Analiza folosește o tipologie de șase procedee, adaptată după procedeele descrise de Vinay și Darbelnet și de Newmark (Tabelul 1).</w:t>
      </w:r>
    </w:p>
    <w:p>
      <w:pPr>
        <w:keepNext/>
        <w:spacing w:after="80" w:before="200" w:line="260"/>
        <w:ind w:firstLine="0"/>
        <w:jc w:val="left"/>
      </w:pPr>
      <w:r>
        <w:rPr>
          <w:b/>
          <w:bCs/>
          <w:sz w:val="22"/>
          <w:szCs w:val="22"/>
        </w:rPr>
        <w:t xml:space="preserve">Tabelul 1.</w:t>
      </w:r>
      <w:r>
        <w:rPr>
          <w:sz w:val="22"/>
          <w:szCs w:val="22"/>
        </w:rPr>
        <w:t xml:space="preserve"> Procedeele de traducere urmărite în analiză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50"/>
        <w:gridCol w:w="4137"/>
        <w:gridCol w:w="3182"/>
      </w:tblGrid>
      <w:tr>
        <w:trPr>
          <w:tblHeader/>
        </w:trPr>
        <w:tc>
          <w:tcPr>
            <w:tcW w:type="dxa" w:w="175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Procedeul</w:t>
            </w:r>
          </w:p>
        </w:tc>
        <w:tc>
          <w:tcPr>
            <w:tcW w:type="dxa" w:w="41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Definiția</w:t>
            </w:r>
          </w:p>
        </w:tc>
        <w:tc>
          <w:tcPr>
            <w:tcW w:type="dxa" w:w="31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 (inventat)</w:t>
            </w:r>
          </w:p>
        </w:tc>
      </w:tr>
      <w:tr>
        <w:trPr>
          <w:cantSplit/>
        </w:trPr>
        <w:tc>
          <w:tcPr>
            <w:tcW w:type="dxa" w:w="17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Împrumut</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Termenul din textul sursă este preluat ca atare</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mămăligă → </w:t>
            </w:r>
            <w:r>
              <w:rPr>
                <w:b w:val="false"/>
                <w:bCs w:val="false"/>
                <w:i/>
                <w:iCs/>
                <w:sz w:val="20"/>
                <w:szCs w:val="20"/>
              </w:rPr>
              <w:t xml:space="preserve">mamaliga</w:t>
            </w:r>
          </w:p>
        </w:tc>
      </w:tr>
      <w:tr>
        <w:trPr>
          <w:cantSplit/>
        </w:trPr>
        <w:tc>
          <w:tcPr>
            <w:tcW w:type="dxa" w:w="17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Calc</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Expresia este tradusă cuvânt cu cuvânt</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cămin cultural → </w:t>
            </w:r>
            <w:r>
              <w:rPr>
                <w:b w:val="false"/>
                <w:bCs w:val="false"/>
                <w:i/>
                <w:iCs/>
                <w:sz w:val="20"/>
                <w:szCs w:val="20"/>
              </w:rPr>
              <w:t xml:space="preserve">Cultural Home</w:t>
            </w:r>
          </w:p>
        </w:tc>
      </w:tr>
      <w:tr>
        <w:trPr>
          <w:cantSplit/>
        </w:trPr>
        <w:tc>
          <w:tcPr>
            <w:tcW w:type="dxa" w:w="17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Adaptare</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Realitatea sursă este înlocuită cu una echivalentă din cultura țintă</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Moș Crăciun → </w:t>
            </w:r>
            <w:r>
              <w:rPr>
                <w:b w:val="false"/>
                <w:bCs w:val="false"/>
                <w:i/>
                <w:iCs/>
                <w:sz w:val="20"/>
                <w:szCs w:val="20"/>
              </w:rPr>
              <w:t xml:space="preserve">Santa Claus</w:t>
            </w:r>
          </w:p>
        </w:tc>
      </w:tr>
      <w:tr>
        <w:trPr>
          <w:cantSplit/>
        </w:trPr>
        <w:tc>
          <w:tcPr>
            <w:tcW w:type="dxa" w:w="17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Generalizare</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Termenul specific este redat printr-unul mai general</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ie → </w:t>
            </w:r>
            <w:r>
              <w:rPr>
                <w:b w:val="false"/>
                <w:bCs w:val="false"/>
                <w:i/>
                <w:iCs/>
                <w:sz w:val="20"/>
                <w:szCs w:val="20"/>
              </w:rPr>
              <w:t xml:space="preserve">blouse</w:t>
            </w:r>
          </w:p>
        </w:tc>
      </w:tr>
      <w:tr>
        <w:trPr>
          <w:cantSplit/>
        </w:trPr>
        <w:tc>
          <w:tcPr>
            <w:tcW w:type="dxa" w:w="175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Explicitare</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Termenul este păstrat și însoțit de o scurtă explicație</w:t>
            </w:r>
          </w:p>
        </w:tc>
        <w:tc>
          <w:tcPr>
            <w:tcW w:type="dxa" w:w="31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colivă → </w:t>
            </w:r>
            <w:r>
              <w:rPr>
                <w:b w:val="false"/>
                <w:bCs w:val="false"/>
                <w:i/>
                <w:iCs/>
                <w:sz w:val="20"/>
                <w:szCs w:val="20"/>
              </w:rPr>
              <w:t xml:space="preserve">coliva, a sweet wheat dish</w:t>
            </w:r>
          </w:p>
        </w:tc>
      </w:tr>
      <w:tr>
        <w:trPr>
          <w:cantSplit/>
        </w:trPr>
        <w:tc>
          <w:tcPr>
            <w:tcW w:type="dxa" w:w="175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Omisiune</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Elementul nu este tradus</w:t>
            </w:r>
          </w:p>
        </w:tc>
        <w:tc>
          <w:tcPr>
            <w:tcW w:type="dxa" w:w="31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măi → ∅</w:t>
            </w:r>
          </w:p>
        </w:tc>
      </w:tr>
    </w:tbl>
    <w:p>
      <w:pPr>
        <w:spacing w:after="200" w:before="40" w:line="240"/>
        <w:ind w:firstLine="0"/>
        <w:jc w:val="left"/>
      </w:pPr>
      <w:commentRangeStart w:id="7"/>
      <w:r>
        <w:rPr>
          <w:i/>
          <w:iCs/>
          <w:color w:val="7A8191"/>
          <w:sz w:val="18"/>
          <w:szCs w:val="18"/>
        </w:rPr>
        <w:t xml:space="preserve">Sursa: Tipologie adaptată după Vinay și Darbelnet și Newmark; exemplele sunt inventate.</w:t>
      </w:r>
      <w:commentRangeEnd w:id="7"/>
      <w:r>
        <w:commentReference w:id="7"/>
      </w:r>
    </w:p>
    <w:p>
      <w:pPr>
        <w:pStyle w:val="Heading2"/>
        <w:keepNext/>
      </w:pPr>
      <w:r>
        <w:t xml:space="preserve">1.3. Străinizare și domesticire</w:t>
      </w:r>
    </w:p>
    <w:p>
      <w:r>
        <w:t xml:space="preserve">Procedeele pot fi grupate după orientarea lor: unele păstrează cultura sursă vizibilă pentru cititor, altele o apropie de cultura țintă. Distincția corespunde celei dintre străinizare (</w:t>
      </w:r>
      <w:r>
        <w:rPr>
          <w:i/>
          <w:iCs/>
        </w:rPr>
        <w:t xml:space="preserve">foreignization</w:t>
      </w:r>
      <w:r>
        <w:t xml:space="preserve">) și domesticire (</w:t>
      </w:r>
      <w:r>
        <w:rPr>
          <w:i/>
          <w:iCs/>
        </w:rPr>
        <w:t xml:space="preserve">domestication</w:t>
      </w:r>
      <w:r>
        <w:t xml:space="preserve">), discutată de Venuti în </w:t>
      </w:r>
      <w:r>
        <w:rPr>
          <w:i/>
          <w:iCs/>
        </w:rPr>
        <w:t xml:space="preserve">The Translator's Invisibility</w:t>
      </w:r>
      <w:r>
        <w:t xml:space="preserve">.</w:t>
      </w:r>
    </w:p>
    <w:p>
      <w:pPr>
        <w:pStyle w:val="Heading1"/>
        <w:pageBreakBefore/>
      </w:pPr>
      <w:commentRangeStart w:id="8"/>
      <w:r>
        <w:t xml:space="preserve">Capitolul 2. Analiza corpusului</w:t>
      </w:r>
      <w:commentRangeEnd w:id="8"/>
      <w:r>
        <w:commentReference w:id="8"/>
      </w:r>
    </w:p>
    <w:p>
      <w:pPr>
        <w:pStyle w:val="Heading2"/>
        <w:keepNext/>
      </w:pPr>
      <w:r>
        <w:t xml:space="preserve">2.1. Corpusul și metoda</w:t>
      </w:r>
    </w:p>
    <w:p>
      <w:pPr>
        <w:keepNext/>
        <w:spacing w:after="80" w:before="200" w:line="260"/>
        <w:ind w:firstLine="0"/>
        <w:jc w:val="left"/>
      </w:pPr>
      <w:r>
        <w:rPr>
          <w:b/>
          <w:bCs/>
          <w:sz w:val="22"/>
          <w:szCs w:val="22"/>
        </w:rPr>
        <w:t xml:space="preserve">Tabelul 2.</w:t>
      </w:r>
      <w:r>
        <w:rPr>
          <w:sz w:val="22"/>
          <w:szCs w:val="22"/>
        </w:rPr>
        <w:t xml:space="preserve"> Corpusul analizat (texte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43"/>
        <w:gridCol w:w="3563"/>
        <w:gridCol w:w="3563"/>
      </w:tblGrid>
      <w:tr>
        <w:trPr>
          <w:tblHeader/>
        </w:trPr>
        <w:tc>
          <w:tcPr>
            <w:tcW w:type="dxa" w:w="19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p>
        </w:tc>
        <w:tc>
          <w:tcPr>
            <w:tcW w:type="dxa" w:w="3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Textul sursă</w:t>
            </w:r>
          </w:p>
        </w:tc>
        <w:tc>
          <w:tcPr>
            <w:tcW w:type="dxa" w:w="3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Textul țintă</w:t>
            </w:r>
          </w:p>
        </w:tc>
      </w:tr>
      <w:tr>
        <w:trPr>
          <w:cantSplit/>
        </w:trPr>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Titlul</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Ulița cu salcâmi</w:t>
            </w:r>
            <w:r>
              <w:rPr>
                <w:b w:val="false"/>
                <w:bCs w:val="false"/>
                <w:sz w:val="20"/>
                <w:szCs w:val="20"/>
              </w:rPr>
              <w:t xml:space="preserve"> (roman)</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i/>
                <w:iCs/>
                <w:sz w:val="20"/>
                <w:szCs w:val="20"/>
              </w:rPr>
              <w:t xml:space="preserve">Acacia Lane</w:t>
            </w:r>
          </w:p>
        </w:tc>
      </w:tr>
      <w:tr>
        <w:trPr>
          <w:cantSplit/>
        </w:trPr>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Autorul / traducătorul</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Ileana Vornicu (autoare fictivă)</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Mark Ellison (traducător fictiv)</w:t>
            </w:r>
          </w:p>
        </w:tc>
      </w:tr>
      <w:tr>
        <w:trPr>
          <w:cantSplit/>
        </w:trPr>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Anul și editura</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2009, Editura Exemplu</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2017, Example Press</w:t>
            </w:r>
          </w:p>
        </w:tc>
      </w:tr>
      <w:tr>
        <w:trPr>
          <w:cantSplit/>
        </w:trPr>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Limba</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română</w:t>
            </w:r>
          </w:p>
        </w:tc>
        <w:tc>
          <w:tcPr>
            <w:tcW w:type="dxa" w:w="3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engleză (britanică)</w:t>
            </w:r>
          </w:p>
        </w:tc>
      </w:tr>
      <w:tr>
        <w:trPr>
          <w:cantSplit/>
        </w:trPr>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Elemente analizate</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40 de elemente culturale specifice</w:t>
            </w:r>
          </w:p>
        </w:tc>
        <w:tc>
          <w:tcPr>
            <w:tcW w:type="dxa" w:w="3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40 de echivalente</w:t>
            </w:r>
          </w:p>
        </w:tc>
      </w:tr>
    </w:tbl>
    <w:p>
      <w:pPr>
        <w:spacing w:after="200" w:before="40" w:line="240"/>
        <w:ind w:firstLine="0"/>
        <w:jc w:val="left"/>
      </w:pPr>
      <w:r>
        <w:rPr>
          <w:i/>
          <w:iCs/>
          <w:color w:val="7A8191"/>
          <w:sz w:val="18"/>
          <w:szCs w:val="18"/>
        </w:rPr>
        <w:t xml:space="preserve">Sursa: Corpus fictiv, construit pentru exemplu.</w:t>
      </w:r>
    </w:p>
    <w:p>
      <w:r>
        <w:t xml:space="preserve">Elementele culturale au fost identificate în textul sursă, aliniate cu traducerea, încadrate pe categorii și analizate după procedeul folosit (Figura 1).</w:t>
      </w:r>
    </w:p>
    <w:p>
      <w:pPr>
        <w:keepNext/>
        <w:spacing w:after="60" w:before="160" w:line="240"/>
        <w:ind w:firstLine="0"/>
        <w:jc w:val="center"/>
      </w:pPr>
      <w:r>
        <w:drawing>
          <wp:inline distT="0" distB="0" distL="0" distR="0">
            <wp:extent cx="5762625" cy="2009775"/>
            <wp:effectExtent t="0" r="0" b="0" l="0"/>
            <wp:docPr id="1" name="Figura 1" descr="Etapele analizei" title="Etapele analiz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Etapele analizei</w:t>
      </w:r>
    </w:p>
    <w:p>
      <w:pPr>
        <w:spacing w:after="200" w:line="240"/>
        <w:ind w:firstLine="0"/>
        <w:jc w:val="center"/>
      </w:pPr>
      <w:r>
        <w:rPr>
          <w:i/>
          <w:iCs/>
          <w:color w:val="7A8191"/>
          <w:sz w:val="18"/>
          <w:szCs w:val="18"/>
        </w:rPr>
        <w:t xml:space="preserve">Sursa: Prelucrare proprie.</w:t>
      </w:r>
    </w:p>
    <w:p>
      <w:pPr>
        <w:pStyle w:val="Heading2"/>
        <w:keepNext/>
      </w:pPr>
      <w:r>
        <w:t xml:space="preserve">2.2. Categoriile de elemente culturale</w:t>
      </w:r>
    </w:p>
    <w:p>
      <w:r>
        <w:t xml:space="preserve">Aproape o treime dintre elemente țin de alimentație (30,0%), urmate de obiceiuri și religie (22,5%) (Tabelul 3).</w:t>
      </w:r>
    </w:p>
    <w:p>
      <w:pPr>
        <w:keepNext/>
        <w:spacing w:after="80" w:before="200" w:line="260"/>
        <w:ind w:firstLine="0"/>
        <w:jc w:val="left"/>
      </w:pPr>
      <w:r>
        <w:rPr>
          <w:b/>
          <w:bCs/>
          <w:sz w:val="22"/>
          <w:szCs w:val="22"/>
        </w:rPr>
        <w:t xml:space="preserve">Tabelul 3.</w:t>
      </w:r>
      <w:r>
        <w:rPr>
          <w:sz w:val="22"/>
          <w:szCs w:val="22"/>
        </w:rPr>
        <w:t xml:space="preserve"> Elementele culturale specifice din corpus, pe categorii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803"/>
        <w:gridCol w:w="3793"/>
        <w:gridCol w:w="1154"/>
        <w:gridCol w:w="1319"/>
      </w:tblGrid>
      <w:tr>
        <w:trPr>
          <w:tblHeader/>
        </w:trPr>
        <w:tc>
          <w:tcPr>
            <w:tcW w:type="dxa" w:w="280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Categoria</w:t>
            </w:r>
          </w:p>
        </w:tc>
        <w:tc>
          <w:tcPr>
            <w:tcW w:type="dxa" w:w="37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Exemple din corpus</w:t>
            </w:r>
          </w:p>
        </w:tc>
        <w:tc>
          <w:tcPr>
            <w:tcW w:type="dxa" w:w="11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w:t>
            </w:r>
          </w:p>
        </w:tc>
        <w:tc>
          <w:tcPr>
            <w:tcW w:type="dxa" w:w="13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Alimentație</w:t>
            </w:r>
          </w:p>
        </w:tc>
        <w:tc>
          <w:tcPr>
            <w:tcW w:type="dxa" w:w="37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mămăligă, sarmale, cozonac, colivă</w:t>
            </w:r>
          </w:p>
        </w:tc>
        <w:tc>
          <w:tcPr>
            <w:tcW w:type="dxa" w:w="11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3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30,0%</w:t>
            </w:r>
          </w:p>
        </w:tc>
      </w:tr>
      <w:tr>
        <w:trPr>
          <w:cantSplit/>
        </w:trPr>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Obiceiuri și religie</w:t>
            </w:r>
          </w:p>
        </w:tc>
        <w:tc>
          <w:tcPr>
            <w:tcW w:type="dxa" w:w="37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pomană, colindători, hram, Moș Crăciun</w:t>
            </w:r>
          </w:p>
        </w:tc>
        <w:tc>
          <w:tcPr>
            <w:tcW w:type="dxa" w:w="11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3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22,5%</w:t>
            </w:r>
          </w:p>
        </w:tc>
      </w:tr>
      <w:tr>
        <w:trPr>
          <w:cantSplit/>
        </w:trPr>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Instituții și administrație</w:t>
            </w:r>
          </w:p>
        </w:tc>
        <w:tc>
          <w:tcPr>
            <w:tcW w:type="dxa" w:w="37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primărie, cămin cultural, CAP</w:t>
            </w:r>
          </w:p>
        </w:tc>
        <w:tc>
          <w:tcPr>
            <w:tcW w:type="dxa" w:w="11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3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17,5%</w:t>
            </w:r>
          </w:p>
        </w:tc>
      </w:tr>
      <w:tr>
        <w:trPr>
          <w:cantSplit/>
        </w:trPr>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Forme de adresare</w:t>
            </w:r>
          </w:p>
        </w:tc>
        <w:tc>
          <w:tcPr>
            <w:tcW w:type="dxa" w:w="37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măi, nene, tanti, domnu' profesor</w:t>
            </w:r>
          </w:p>
        </w:tc>
        <w:tc>
          <w:tcPr>
            <w:tcW w:type="dxa" w:w="11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3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r>
      <w:tr>
        <w:trPr>
          <w:cantSplit/>
        </w:trPr>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Toponime și realii locale</w:t>
            </w:r>
          </w:p>
        </w:tc>
        <w:tc>
          <w:tcPr>
            <w:tcW w:type="dxa" w:w="37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uliță, ie, țuică, bac</w:t>
            </w:r>
          </w:p>
        </w:tc>
        <w:tc>
          <w:tcPr>
            <w:tcW w:type="dxa" w:w="11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3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r>
      <w:tr>
        <w:trPr>
          <w:cantSplit/>
        </w:trPr>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37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1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c>
          <w:tcPr>
            <w:tcW w:type="dxa" w:w="13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Corpus fictiv, construit pentru exemplu.</w:t>
      </w:r>
    </w:p>
    <w:p>
      <w:pPr>
        <w:pStyle w:val="Heading2"/>
        <w:keepNext/>
      </w:pPr>
      <w:r>
        <w:t xml:space="preserve">2.3. Procedeele de traducere</w:t>
      </w:r>
    </w:p>
    <w:p>
      <w:r>
        <w:t xml:space="preserve">Adaptarea este procedeul cel mai frecvent (10 elemente, 25,0%), urmată de împrumut (9 elemente, 22,5%) (Tabelul 4, Figura 2).</w:t>
      </w:r>
    </w:p>
    <w:p>
      <w:pPr>
        <w:keepNext/>
        <w:spacing w:after="80" w:before="200" w:line="260"/>
        <w:ind w:firstLine="0"/>
        <w:jc w:val="left"/>
      </w:pPr>
      <w:r>
        <w:rPr>
          <w:b/>
          <w:bCs/>
          <w:sz w:val="22"/>
          <w:szCs w:val="22"/>
        </w:rPr>
        <w:t xml:space="preserve">Tabelul 4.</w:t>
      </w:r>
      <w:r>
        <w:rPr>
          <w:sz w:val="22"/>
          <w:szCs w:val="22"/>
        </w:rPr>
        <w:t xml:space="preserve"> Frecvența procedeelor de traducere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Procedeul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Adaptare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Împrumut</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22,5%</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Generalizare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Explicitare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Calc</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Omisiune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Analiză proprie pe corpusul fictiv.</w:t>
      </w:r>
    </w:p>
    <w:p>
      <w:pPr>
        <w:keepNext/>
        <w:spacing w:after="60" w:before="160" w:line="240"/>
        <w:ind w:firstLine="0"/>
        <w:jc w:val="center"/>
      </w:pPr>
      <w:r>
        <w:drawing>
          <wp:inline distT="0" distB="0" distL="0" distR="0">
            <wp:extent cx="5762625" cy="2286000"/>
            <wp:effectExtent t="0" r="0" b="0" l="0"/>
            <wp:docPr id="2" name="Figura 2" descr="Frecvența procedeelor de traducere (număr de elemente)" title="Frecvența procedeelor de traducere (număr de ele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Frecvența procedeelor de traducere (număr de elemente)</w:t>
      </w:r>
    </w:p>
    <w:p>
      <w:pPr>
        <w:spacing w:after="200" w:line="240"/>
        <w:ind w:firstLine="0"/>
        <w:jc w:val="center"/>
      </w:pPr>
      <w:r>
        <w:rPr>
          <w:i/>
          <w:iCs/>
          <w:color w:val="7A8191"/>
          <w:sz w:val="18"/>
          <w:szCs w:val="18"/>
        </w:rPr>
        <w:t xml:space="preserve">Sursa: Prelucrare proprie după Tabelul 4.</w:t>
      </w:r>
    </w:p>
    <w:p>
      <w:r>
        <w:t xml:space="preserve">Procedeul depinde însă de categorie (Tabelul 5, Figura 3): alimentele sunt adesea împrumutate, obiceiurile sunt explicitate, iar formele de adresare sunt adaptate sau omise.</w:t>
      </w:r>
    </w:p>
    <w:p>
      <w:pPr>
        <w:keepNext/>
        <w:spacing w:after="80" w:before="200" w:line="260"/>
        <w:ind w:firstLine="0"/>
        <w:jc w:val="left"/>
      </w:pPr>
      <w:r>
        <w:rPr>
          <w:b/>
          <w:bCs/>
          <w:sz w:val="22"/>
          <w:szCs w:val="22"/>
        </w:rPr>
        <w:t xml:space="preserve">Tabelul 5.</w:t>
      </w:r>
      <w:r>
        <w:rPr>
          <w:sz w:val="22"/>
          <w:szCs w:val="22"/>
        </w:rPr>
        <w:t xml:space="preserve"> Procedeele de traducere, pe categorii de elemente culturale (număr)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49"/>
        <w:gridCol w:w="1078"/>
        <w:gridCol w:w="1078"/>
        <w:gridCol w:w="1395"/>
        <w:gridCol w:w="1268"/>
        <w:gridCol w:w="697"/>
        <w:gridCol w:w="1141"/>
        <w:gridCol w:w="761"/>
      </w:tblGrid>
      <w:tr>
        <w:trPr>
          <w:tblHeader/>
        </w:trPr>
        <w:tc>
          <w:tcPr>
            <w:tcW w:type="dxa" w:w="164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Categoria</w:t>
            </w:r>
          </w:p>
        </w:tc>
        <w:tc>
          <w:tcPr>
            <w:tcW w:type="dxa" w:w="107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Adaptare</w:t>
            </w:r>
          </w:p>
        </w:tc>
        <w:tc>
          <w:tcPr>
            <w:tcW w:type="dxa" w:w="107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Împrumut</w:t>
            </w:r>
          </w:p>
        </w:tc>
        <w:tc>
          <w:tcPr>
            <w:tcW w:type="dxa" w:w="13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Generalizare</w:t>
            </w:r>
          </w:p>
        </w:tc>
        <w:tc>
          <w:tcPr>
            <w:tcW w:type="dxa" w:w="12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Explicitare</w:t>
            </w:r>
          </w:p>
        </w:tc>
        <w:tc>
          <w:tcPr>
            <w:tcW w:type="dxa" w:w="6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Calc</w:t>
            </w:r>
          </w:p>
        </w:tc>
        <w:tc>
          <w:tcPr>
            <w:tcW w:type="dxa" w:w="114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Omisiune</w:t>
            </w:r>
          </w:p>
        </w:tc>
        <w:tc>
          <w:tcPr>
            <w:tcW w:type="dxa" w:w="76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Total</w:t>
            </w:r>
          </w:p>
        </w:tc>
      </w:tr>
      <w:tr>
        <w:trPr>
          <w:cantSplit/>
        </w:trPr>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Alimentație</w:t>
            </w:r>
          </w:p>
        </w:tc>
        <w:tc>
          <w:tcPr>
            <w:tcW w:type="dxa" w:w="10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0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3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2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6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14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76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w:t>
            </w:r>
          </w:p>
        </w:tc>
      </w:tr>
      <w:tr>
        <w:trPr>
          <w:cantSplit/>
        </w:trPr>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Obiceiuri</w:t>
            </w:r>
          </w:p>
        </w:tc>
        <w:tc>
          <w:tcPr>
            <w:tcW w:type="dxa" w:w="107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07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3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6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14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76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w:t>
            </w:r>
          </w:p>
        </w:tc>
      </w:tr>
      <w:tr>
        <w:trPr>
          <w:cantSplit/>
        </w:trPr>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Instituții</w:t>
            </w:r>
          </w:p>
        </w:tc>
        <w:tc>
          <w:tcPr>
            <w:tcW w:type="dxa" w:w="10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0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3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2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6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14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76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w:t>
            </w:r>
          </w:p>
        </w:tc>
      </w:tr>
      <w:tr>
        <w:trPr>
          <w:cantSplit/>
        </w:trPr>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Adresare</w:t>
            </w:r>
          </w:p>
        </w:tc>
        <w:tc>
          <w:tcPr>
            <w:tcW w:type="dxa" w:w="107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07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3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6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14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76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w:t>
            </w:r>
          </w:p>
        </w:tc>
      </w:tr>
      <w:tr>
        <w:trPr>
          <w:cantSplit/>
        </w:trPr>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Realii locale</w:t>
            </w:r>
          </w:p>
        </w:tc>
        <w:tc>
          <w:tcPr>
            <w:tcW w:type="dxa" w:w="10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3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6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14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76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w:t>
            </w:r>
          </w:p>
        </w:tc>
      </w:tr>
      <w:tr>
        <w:trPr>
          <w:cantSplit/>
        </w:trPr>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Total</w:t>
            </w:r>
          </w:p>
        </w:tc>
        <w:tc>
          <w:tcPr>
            <w:tcW w:type="dxa" w:w="107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w:t>
            </w:r>
          </w:p>
        </w:tc>
        <w:tc>
          <w:tcPr>
            <w:tcW w:type="dxa" w:w="107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w:t>
            </w:r>
          </w:p>
        </w:tc>
        <w:tc>
          <w:tcPr>
            <w:tcW w:type="dxa" w:w="13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w:t>
            </w:r>
          </w:p>
        </w:tc>
        <w:tc>
          <w:tcPr>
            <w:tcW w:type="dxa" w:w="12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w:t>
            </w:r>
          </w:p>
        </w:tc>
        <w:tc>
          <w:tcPr>
            <w:tcW w:type="dxa" w:w="6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14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76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r>
    </w:tbl>
    <w:p>
      <w:pPr>
        <w:spacing w:after="200" w:before="40" w:line="240"/>
        <w:ind w:firstLine="0"/>
        <w:jc w:val="left"/>
      </w:pPr>
      <w:r>
        <w:rPr>
          <w:i/>
          <w:iCs/>
          <w:color w:val="7A8191"/>
          <w:sz w:val="18"/>
          <w:szCs w:val="18"/>
        </w:rPr>
        <w:t xml:space="preserve">Sursa: Analiză proprie pe corpusul fictiv.</w:t>
      </w:r>
    </w:p>
    <w:p>
      <w:pPr>
        <w:keepNext/>
        <w:spacing w:after="60" w:before="160" w:line="240"/>
        <w:ind w:firstLine="0"/>
        <w:jc w:val="center"/>
      </w:pPr>
      <w:r>
        <w:drawing>
          <wp:inline distT="0" distB="0" distL="0" distR="0">
            <wp:extent cx="5762625" cy="2743200"/>
            <wp:effectExtent t="0" r="0" b="0" l="0"/>
            <wp:docPr id="3" name="Figura 3" descr="Procedeele de traducere în fiecare categorie de elemente culturale" title="Procedeele de traducere în fiecare categorie de elemente cultu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Procedeele de traducere în fiecare categorie de elemente culturale</w:t>
      </w:r>
    </w:p>
    <w:p>
      <w:pPr>
        <w:spacing w:after="200" w:line="240"/>
        <w:ind w:firstLine="0"/>
        <w:jc w:val="center"/>
      </w:pPr>
      <w:commentRangeStart w:id="9"/>
      <w:r>
        <w:rPr>
          <w:i/>
          <w:iCs/>
          <w:color w:val="7A8191"/>
          <w:sz w:val="18"/>
          <w:szCs w:val="18"/>
        </w:rPr>
        <w:t xml:space="preserve">Sursa: Prelucrare proprie după Tabelul 5.</w:t>
      </w:r>
      <w:commentRangeEnd w:id="9"/>
      <w:r>
        <w:commentReference w:id="9"/>
      </w:r>
    </w:p>
    <w:p>
      <w:pPr>
        <w:pStyle w:val="Heading2"/>
        <w:keepNext/>
      </w:pPr>
      <w:r>
        <w:t xml:space="preserve">2.4. Exemple comentate</w:t>
      </w:r>
    </w:p>
    <w:p>
      <w:r>
        <w:t xml:space="preserve">În [Ex. 3], împrumutul </w:t>
      </w:r>
      <w:r>
        <w:rPr>
          <w:i/>
          <w:iCs/>
        </w:rPr>
        <w:t xml:space="preserve">mamaliga</w:t>
      </w:r>
      <w:r>
        <w:t xml:space="preserve"> păstrează culoarea locală, iar contextul face sensul clar. În [Ex. 11], explicitarea îl ajută pe cititor fără să șteargă referința culturală. În schimb, în [Ex. 24], generalizarea </w:t>
      </w:r>
      <w:r>
        <w:rPr>
          <w:i/>
          <w:iCs/>
        </w:rPr>
        <w:t xml:space="preserve">blouse</w:t>
      </w:r>
      <w:r>
        <w:t xml:space="preserve"> pierde valoarea simbolică a iei (Tabelul 6).</w:t>
      </w:r>
    </w:p>
    <w:p>
      <w:pPr>
        <w:keepNext/>
        <w:spacing w:after="80" w:before="200" w:line="260"/>
        <w:ind w:firstLine="0"/>
        <w:jc w:val="left"/>
      </w:pPr>
      <w:r>
        <w:rPr>
          <w:b/>
          <w:bCs/>
          <w:sz w:val="22"/>
          <w:szCs w:val="22"/>
        </w:rPr>
        <w:t xml:space="preserve">Tabelul 6.</w:t>
      </w:r>
      <w:r>
        <w:rPr>
          <w:sz w:val="22"/>
          <w:szCs w:val="22"/>
        </w:rPr>
        <w:t xml:space="preserve"> Exemple din corpus, în format paralel (fragmente inventate)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058"/>
        <w:gridCol w:w="3023"/>
        <w:gridCol w:w="3477"/>
        <w:gridCol w:w="1511"/>
      </w:tblGrid>
      <w:tr>
        <w:trPr>
          <w:tblHeader/>
        </w:trPr>
        <w:tc>
          <w:tcPr>
            <w:tcW w:type="dxa" w:w="10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Textul sursă</w:t>
            </w:r>
          </w:p>
        </w:tc>
        <w:tc>
          <w:tcPr>
            <w:tcW w:type="dxa" w:w="347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Textul țintă</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Procedeul</w:t>
            </w:r>
          </w:p>
        </w:tc>
      </w:tr>
      <w:tr>
        <w:trPr>
          <w:cantSplit/>
        </w:trPr>
        <w:tc>
          <w:tcPr>
            <w:tcW w:type="dxa" w:w="10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 3]</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Bunica a răsturnat mămăliga pe fundul de lemn.</w:t>
            </w:r>
          </w:p>
        </w:tc>
        <w:tc>
          <w:tcPr>
            <w:tcW w:type="dxa" w:w="34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Grandma tipped the </w:t>
            </w:r>
            <w:r>
              <w:rPr>
                <w:b w:val="false"/>
                <w:bCs w:val="false"/>
                <w:i/>
                <w:iCs/>
                <w:sz w:val="20"/>
                <w:szCs w:val="20"/>
              </w:rPr>
              <w:t xml:space="preserve">mamaliga</w:t>
            </w:r>
            <w:r>
              <w:rPr>
                <w:b w:val="false"/>
                <w:bCs w:val="false"/>
                <w:sz w:val="20"/>
                <w:szCs w:val="20"/>
              </w:rPr>
              <w:t xml:space="preserve"> onto the wooden board.</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Împrumut</w:t>
            </w:r>
          </w:p>
        </w:tc>
      </w:tr>
      <w:tr>
        <w:trPr>
          <w:cantSplit/>
        </w:trPr>
        <w:tc>
          <w:tcPr>
            <w:tcW w:type="dxa" w:w="10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 11]</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 pomană s-a împărțit colivă.</w:t>
            </w:r>
          </w:p>
        </w:tc>
        <w:tc>
          <w:tcPr>
            <w:tcW w:type="dxa" w:w="34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At the memorial meal they handed out </w:t>
            </w:r>
            <w:r>
              <w:rPr>
                <w:b w:val="false"/>
                <w:bCs w:val="false"/>
                <w:i/>
                <w:iCs/>
                <w:sz w:val="20"/>
                <w:szCs w:val="20"/>
              </w:rPr>
              <w:t xml:space="preserve">coliva</w:t>
            </w:r>
            <w:r>
              <w:rPr>
                <w:b w:val="false"/>
                <w:bCs w:val="false"/>
                <w:sz w:val="20"/>
                <w:szCs w:val="20"/>
              </w:rPr>
              <w:t xml:space="preserve">, a sweet wheat dish for the dead.</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Explicitare</w:t>
            </w:r>
          </w:p>
        </w:tc>
      </w:tr>
      <w:tr>
        <w:trPr>
          <w:cantSplit/>
        </w:trPr>
        <w:tc>
          <w:tcPr>
            <w:tcW w:type="dxa" w:w="10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 17]</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venit Moș Crăciun cu sania.</w:t>
            </w:r>
          </w:p>
        </w:tc>
        <w:tc>
          <w:tcPr>
            <w:tcW w:type="dxa" w:w="34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Santa Claus came on his sleigh.</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Adaptare</w:t>
            </w:r>
          </w:p>
        </w:tc>
      </w:tr>
      <w:tr>
        <w:trPr>
          <w:cantSplit/>
        </w:trPr>
        <w:tc>
          <w:tcPr>
            <w:tcW w:type="dxa" w:w="10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 24]</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Și-a pus ia de sărbătoare.</w:t>
            </w:r>
          </w:p>
        </w:tc>
        <w:tc>
          <w:tcPr>
            <w:tcW w:type="dxa" w:w="34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She put on her best blouse.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Generalizare</w:t>
            </w:r>
          </w:p>
        </w:tc>
      </w:tr>
      <w:tr>
        <w:trPr>
          <w:cantSplit/>
        </w:trPr>
        <w:tc>
          <w:tcPr>
            <w:tcW w:type="dxa" w:w="10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 36]</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Hora se ținea la căminul cultural.</w:t>
            </w:r>
          </w:p>
        </w:tc>
        <w:tc>
          <w:tcPr>
            <w:tcW w:type="dxa" w:w="34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The dance was held at the Cultural Home.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Calc</w:t>
            </w:r>
          </w:p>
        </w:tc>
      </w:tr>
    </w:tbl>
    <w:p>
      <w:pPr>
        <w:spacing w:after="200" w:before="40" w:line="240"/>
        <w:ind w:firstLine="0"/>
        <w:jc w:val="left"/>
      </w:pPr>
      <w:r>
        <w:rPr>
          <w:i/>
          <w:iCs/>
          <w:color w:val="7A8191"/>
          <w:sz w:val="18"/>
          <w:szCs w:val="18"/>
        </w:rPr>
        <w:t xml:space="preserve">Sursa: Fragmente inventate, din texte fictive.</w:t>
      </w:r>
    </w:p>
    <w:p>
      <w:pPr>
        <w:pStyle w:val="Heading1"/>
        <w:pageBreakBefore/>
      </w:pPr>
      <w:commentRangeStart w:id="10"/>
      <w:r>
        <w:t xml:space="preserve">Capitolul 3. Interpretare și evaluare</w:t>
      </w:r>
      <w:commentRangeEnd w:id="10"/>
      <w:r>
        <w:commentReference w:id="10"/>
      </w:r>
    </w:p>
    <w:p>
      <w:pPr>
        <w:pStyle w:val="Heading2"/>
        <w:keepNext/>
      </w:pPr>
      <w:r>
        <w:t xml:space="preserve">3.1. Strategia dominantă</w:t>
      </w:r>
    </w:p>
    <w:p>
      <w:r>
        <w:t xml:space="preserve">Am grupat cele șase procedee după orientarea lor, în străinizare și domesticire (Figura 4). Procedeele de domesticire (21 de elemente, 52,5%) sunt doar puțin mai frecvente decât cele de străinizare (19 elemente, 47,5%) (Figura 5). Traducătorul nu aplică așadar o strategie unică, ci decide de la caz la caz.</w:t>
      </w:r>
    </w:p>
    <w:p>
      <w:pPr>
        <w:keepNext/>
        <w:spacing w:after="60" w:before="160" w:line="240"/>
        <w:ind w:firstLine="0"/>
        <w:jc w:val="center"/>
      </w:pPr>
      <w:r>
        <w:drawing>
          <wp:inline distT="0" distB="0" distL="0" distR="0">
            <wp:extent cx="5762625" cy="2466975"/>
            <wp:effectExtent t="0" r="0" b="0" l="0"/>
            <wp:docPr id="4" name="Figura 4" descr="Procedeele de traducere, grupate pe cele două orientări" title="Procedeele de traducere, grupate pe cele două orientă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Procedeele de traducere, grupate pe cele două orientări</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5486400" cy="2286000"/>
            <wp:effectExtent t="0" r="0" b="0" l="0"/>
            <wp:docPr id="5" name="Figura 5" descr="Ponderea celor două orientări în traducere (%)" title="Ponderea celor două orientări în traduce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2860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Ponderea celor două orientări în traducere (%)</w:t>
      </w:r>
    </w:p>
    <w:p>
      <w:pPr>
        <w:spacing w:after="200" w:line="240"/>
        <w:ind w:firstLine="0"/>
        <w:jc w:val="center"/>
      </w:pPr>
      <w:r>
        <w:rPr>
          <w:i/>
          <w:iCs/>
          <w:color w:val="7A8191"/>
          <w:sz w:val="18"/>
          <w:szCs w:val="18"/>
        </w:rPr>
        <w:t xml:space="preserve">Sursa: Prelucrare proprie după Tabelul 4.</w:t>
      </w:r>
    </w:p>
    <w:p>
      <w:pPr>
        <w:pStyle w:val="Heading2"/>
        <w:keepNext/>
      </w:pPr>
      <w:r>
        <w:t xml:space="preserve">3.2. Evaluarea soluțiilor</w:t>
      </w:r>
    </w:p>
    <w:p>
      <w:r>
        <w:t xml:space="preserve">Am evaluat fiecare soluție după păstrarea sensului și a funcției elementului în text. 28 dintre cele 40 de soluții (70,0%) sunt adecvate; cele 4 pierderi de sens apar mai ales la omisiune (Tabelul 7).</w:t>
      </w:r>
    </w:p>
    <w:p>
      <w:pPr>
        <w:keepNext/>
        <w:spacing w:after="80" w:before="200" w:line="260"/>
        <w:ind w:firstLine="0"/>
        <w:jc w:val="left"/>
      </w:pPr>
      <w:r>
        <w:rPr>
          <w:b/>
          <w:bCs/>
          <w:sz w:val="22"/>
          <w:szCs w:val="22"/>
        </w:rPr>
        <w:t xml:space="preserve">Tabelul 7.</w:t>
      </w:r>
      <w:r>
        <w:rPr>
          <w:sz w:val="22"/>
          <w:szCs w:val="22"/>
        </w:rPr>
        <w:t xml:space="preserve"> Evaluarea soluțiilor de traducere, pe procedee (număr)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1619"/>
        <w:gridCol w:w="1943"/>
        <w:gridCol w:w="1943"/>
        <w:gridCol w:w="1295"/>
      </w:tblGrid>
      <w:tr>
        <w:trPr>
          <w:tblHeader/>
        </w:trPr>
        <w:tc>
          <w:tcPr>
            <w:tcW w:type="dxa" w:w="22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Procedeul</w:t>
            </w:r>
          </w:p>
        </w:tc>
        <w:tc>
          <w:tcPr>
            <w:tcW w:type="dxa" w:w="16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Adecvată</w:t>
            </w:r>
          </w:p>
        </w:tc>
        <w:tc>
          <w:tcPr>
            <w:tcW w:type="dxa" w:w="19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Parțial adecvată</w:t>
            </w:r>
          </w:p>
        </w:tc>
        <w:tc>
          <w:tcPr>
            <w:tcW w:type="dxa" w:w="19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Pierdere de sens</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Adaptare</w:t>
            </w:r>
          </w:p>
        </w:tc>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Împrumut</w:t>
            </w:r>
          </w:p>
        </w:tc>
        <w:tc>
          <w:tcPr>
            <w:tcW w:type="dxa" w:w="16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Generalizare</w:t>
            </w:r>
          </w:p>
        </w:tc>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Explicitare</w:t>
            </w:r>
          </w:p>
        </w:tc>
        <w:tc>
          <w:tcPr>
            <w:tcW w:type="dxa" w:w="16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Calc</w:t>
            </w:r>
          </w:p>
        </w:tc>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Omisiune</w:t>
            </w:r>
          </w:p>
        </w:tc>
        <w:tc>
          <w:tcPr>
            <w:tcW w:type="dxa" w:w="16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28</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bl>
    <w:p>
      <w:pPr>
        <w:spacing w:after="200" w:before="40" w:line="240"/>
        <w:ind w:firstLine="0"/>
        <w:jc w:val="left"/>
      </w:pPr>
      <w:commentRangeStart w:id="11"/>
      <w:r>
        <w:rPr>
          <w:i/>
          <w:iCs/>
          <w:color w:val="7A8191"/>
          <w:sz w:val="18"/>
          <w:szCs w:val="18"/>
        </w:rPr>
        <w:t xml:space="preserve">Sursa: Evaluare proprie a autoarei.</w:t>
      </w:r>
      <w:commentRangeEnd w:id="11"/>
      <w:r>
        <w:commentReference w:id="11"/>
      </w:r>
    </w:p>
    <w:p>
      <w:pPr>
        <w:pStyle w:val="Heading2"/>
        <w:keepNext/>
      </w:pPr>
      <w:r>
        <w:t xml:space="preserve">3.3. Propunerile autoarei</w:t>
      </w:r>
    </w:p>
    <w:p>
      <w:r>
        <w:t xml:space="preserve">Considerăm că, într-un roman a cărui valoare stă în atmosfera locală, elementele cu încărcătură simbolică (ia, formele de adresare, instituțiile satului) ar trebui păstrate sau explicitate, nu generalizate. Tabelul 8 prezintă trei soluții alternative.</w:t>
      </w:r>
    </w:p>
    <w:p>
      <w:pPr>
        <w:keepNext/>
        <w:spacing w:after="80" w:before="200" w:line="260"/>
        <w:ind w:firstLine="0"/>
        <w:jc w:val="left"/>
      </w:pPr>
      <w:r>
        <w:rPr>
          <w:b/>
          <w:bCs/>
          <w:sz w:val="22"/>
          <w:szCs w:val="22"/>
        </w:rPr>
        <w:t xml:space="preserve">Tabelul 8.</w:t>
      </w:r>
      <w:r>
        <w:rPr>
          <w:sz w:val="22"/>
          <w:szCs w:val="22"/>
        </w:rPr>
        <w:t xml:space="preserve"> Propuneri alternative ale autoarei pentru soluțiile evaluate critic</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094"/>
        <w:gridCol w:w="2815"/>
        <w:gridCol w:w="3440"/>
        <w:gridCol w:w="1720"/>
      </w:tblGrid>
      <w:tr>
        <w:trPr>
          <w:tblHeader/>
        </w:trPr>
        <w:tc>
          <w:tcPr>
            <w:tcW w:type="dxa" w:w="109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w:t>
            </w:r>
          </w:p>
        </w:tc>
        <w:tc>
          <w:tcPr>
            <w:tcW w:type="dxa" w:w="28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Traducerea existentă</w:t>
            </w:r>
          </w:p>
        </w:tc>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Propunerea autoarei</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Procedeul propus</w:t>
            </w:r>
          </w:p>
        </w:tc>
      </w:tr>
      <w:tr>
        <w:trPr>
          <w:cantSplit/>
        </w:trPr>
        <w:tc>
          <w:tcPr>
            <w:tcW w:type="dxa" w:w="109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 24]</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her best blouse</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her embroidered </w:t>
            </w:r>
            <w:r>
              <w:rPr>
                <w:b w:val="false"/>
                <w:bCs w:val="false"/>
                <w:i/>
                <w:iCs/>
                <w:sz w:val="20"/>
                <w:szCs w:val="20"/>
              </w:rPr>
              <w:t xml:space="preserve">ie</w:t>
            </w:r>
            <w:r>
              <w:rPr>
                <w:b w:val="false"/>
                <w:bCs w:val="false"/>
                <w:sz w:val="20"/>
                <w:szCs w:val="20"/>
              </w:rPr>
              <w:t xml:space="preserve"> blouse</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Explicitare</w:t>
            </w:r>
          </w:p>
        </w:tc>
      </w:tr>
      <w:tr>
        <w:trPr>
          <w:cantSplit/>
        </w:trPr>
        <w:tc>
          <w:tcPr>
            <w:tcW w:type="dxa" w:w="109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 32]</w:t>
            </w:r>
          </w:p>
        </w:tc>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Never mind, I know. (fără „măi”)</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Leave it, mate, I know.</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Adaptare</w:t>
            </w:r>
          </w:p>
        </w:tc>
      </w:tr>
      <w:tr>
        <w:trPr>
          <w:cantSplit/>
        </w:trPr>
        <w:tc>
          <w:tcPr>
            <w:tcW w:type="dxa" w:w="109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 36]</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the Cultural Home</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the village community hall</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Adaptare</w:t>
            </w:r>
          </w:p>
        </w:tc>
      </w:tr>
    </w:tbl>
    <w:p>
      <w:pPr>
        <w:spacing w:after="200" w:before="40" w:line="240"/>
        <w:ind w:firstLine="0"/>
        <w:jc w:val="left"/>
      </w:pPr>
      <w:r>
        <w:rPr>
          <w:i/>
          <w:iCs/>
          <w:color w:val="7A8191"/>
          <w:sz w:val="18"/>
          <w:szCs w:val="18"/>
        </w:rPr>
        <w:t xml:space="preserve">Sursa: Propuneri proprii ale autoarei (exemplu).</w:t>
      </w:r>
    </w:p>
    <w:p>
      <w:pPr>
        <w:pStyle w:val="Heading1"/>
        <w:pageBreakBefore/>
      </w:pPr>
      <w:commentRangeStart w:id="12"/>
      <w:r>
        <w:t xml:space="preserve">Concluzii</w:t>
      </w:r>
      <w:commentRangeEnd w:id="12"/>
      <w:r>
        <w:commentReference w:id="12"/>
      </w:r>
    </w:p>
    <w:p>
      <w:r>
        <w:t xml:space="preserve">Traducătorul folosește în principal adaptarea (25,0%) și împrumutul (22,5%), iar alegerea depinde de categoria elementului cultural. Domesticirea și străinizarea sunt aproape echilibrate (52,5% și 47,5%), ceea ce arată o strategie flexibilă, dar nu întotdeauna consecventă.</w:t>
      </w:r>
    </w:p>
    <w:p>
      <w:r>
        <w:t xml:space="preserve">Soluțiile sunt adecvate în 70,0% dintre cazuri; pierderile de sens apar mai ales prin omisiune și generalizare. </w:t>
      </w:r>
      <w:r>
        <w:rPr>
          <w:b/>
          <w:bCs/>
        </w:rPr>
        <w:t xml:space="preserve">Contribuția</w:t>
      </w:r>
      <w:r>
        <w:t xml:space="preserve"> lucrării este propunerea unei strategii consecvente pentru elementele simbolice: împrumut însoțit de explicitare. O cercetare ulterioară ar putea compara două traduceri ale aceluiași roman.</w:t>
      </w:r>
    </w:p>
    <w:p>
      <w:pPr>
        <w:pStyle w:val="Heading1"/>
        <w:pageBreakBefore/>
      </w:pPr>
      <w:commentRangeStart w:id="13"/>
      <w:r>
        <w:t xml:space="preserve">Lucrări citate</w:t>
      </w:r>
      <w:commentRangeEnd w:id="13"/>
      <w:r>
        <w:commentReference w:id="13"/>
      </w:r>
    </w:p>
    <w:p>
      <w:pPr>
        <w:spacing w:after="100" w:line="300"/>
        <w:ind w:left="709" w:hanging="709" w:firstLine="0"/>
        <w:jc w:val="left"/>
      </w:pPr>
      <w:r>
        <w:rPr>
          <w:b/>
          <w:bCs/>
        </w:rPr>
        <w:t xml:space="preserve">Corpus</w:t>
      </w:r>
    </w:p>
    <w:p>
      <w:pPr>
        <w:spacing w:after="100" w:line="300"/>
        <w:ind w:left="709" w:hanging="709" w:firstLine="0"/>
        <w:jc w:val="left"/>
      </w:pPr>
      <w:r>
        <w:t xml:space="preserve">Vornicu, Ileana. </w:t>
      </w:r>
      <w:r>
        <w:rPr>
          <w:i/>
          <w:iCs/>
        </w:rPr>
        <w:t xml:space="preserve">Ulița cu salcâmi</w:t>
      </w:r>
      <w:r>
        <w:t xml:space="preserve">. Editura Exemplu, 2009 (roman fictiv).</w:t>
      </w:r>
    </w:p>
    <w:p>
      <w:pPr>
        <w:spacing w:after="100" w:line="300"/>
        <w:ind w:left="709" w:hanging="709" w:firstLine="0"/>
        <w:jc w:val="left"/>
      </w:pPr>
      <w:r>
        <w:t xml:space="preserve">Vornicu, Ileana. </w:t>
      </w:r>
      <w:r>
        <w:rPr>
          <w:i/>
          <w:iCs/>
        </w:rPr>
        <w:t xml:space="preserve">Acacia Lane</w:t>
      </w:r>
      <w:r>
        <w:t xml:space="preserve">. Traducere de Mark Ellison, Example Press, 2017 (traducere fictivă).</w:t>
      </w:r>
    </w:p>
    <w:p>
      <w:pPr>
        <w:spacing w:after="100" w:line="300"/>
        <w:ind w:left="709" w:hanging="709" w:firstLine="0"/>
        <w:jc w:val="left"/>
      </w:pPr>
      <w:r>
        <w:rPr>
          <w:b/>
          <w:bCs/>
        </w:rPr>
        <w:t xml:space="preserve">Bibliografie teoretică</w:t>
      </w:r>
    </w:p>
    <w:p>
      <w:pPr>
        <w:spacing w:after="100" w:line="300"/>
        <w:ind w:left="709" w:hanging="709" w:firstLine="0"/>
        <w:jc w:val="left"/>
      </w:pPr>
      <w:r>
        <w:t xml:space="preserve">Dumitru, Laura. </w:t>
      </w:r>
      <w:r>
        <w:rPr>
          <w:i/>
          <w:iCs/>
        </w:rPr>
        <w:t xml:space="preserve">Culturemele în traducerea literară</w:t>
      </w:r>
      <w:r>
        <w:t xml:space="preserve">. Editura Exemplu, 2020 (lucrare fictivă).</w:t>
      </w:r>
    </w:p>
    <w:p>
      <w:pPr>
        <w:spacing w:after="100" w:line="300"/>
        <w:ind w:left="709" w:hanging="709" w:firstLine="0"/>
        <w:jc w:val="left"/>
      </w:pPr>
      <w:r>
        <w:t xml:space="preserve">Newmark, Peter. </w:t>
      </w:r>
      <w:r>
        <w:rPr>
          <w:i/>
          <w:iCs/>
        </w:rPr>
        <w:t xml:space="preserve">A Textbook of Translation</w:t>
      </w:r>
      <w:r>
        <w:t xml:space="preserve">. Prentice Hall, 1988.</w:t>
      </w:r>
    </w:p>
    <w:p>
      <w:pPr>
        <w:spacing w:after="100" w:line="300"/>
        <w:ind w:left="709" w:hanging="709" w:firstLine="0"/>
        <w:jc w:val="left"/>
      </w:pPr>
      <w:r>
        <w:t xml:space="preserve">Venuti, Lawrence. </w:t>
      </w:r>
      <w:r>
        <w:rPr>
          <w:i/>
          <w:iCs/>
        </w:rPr>
        <w:t xml:space="preserve">The Translator's Invisibility: A History of Translation</w:t>
      </w:r>
      <w:r>
        <w:t xml:space="preserve">. Routledge, 1995.</w:t>
      </w:r>
    </w:p>
    <w:p>
      <w:pPr>
        <w:spacing w:after="100" w:line="300"/>
        <w:ind w:left="709" w:hanging="709" w:firstLine="0"/>
        <w:jc w:val="left"/>
      </w:pPr>
      <w:r>
        <w:t xml:space="preserve">Vinay, Jean-Paul, și Jean Darbelnet. </w:t>
      </w:r>
      <w:r>
        <w:rPr>
          <w:i/>
          <w:iCs/>
        </w:rPr>
        <w:t xml:space="preserve">Stylistique comparée du français et de l'anglais: méthode de traduction</w:t>
      </w:r>
      <w:r>
        <w:t xml:space="preserve">. Didier, 1958.</w:t>
      </w:r>
    </w:p>
    <w:p>
      <w:pPr>
        <w:pStyle w:val="Heading1"/>
        <w:pageBreakBefore/>
      </w:pPr>
      <w:commentRangeStart w:id="14"/>
      <w:r>
        <w:t xml:space="preserve">Anexa 1. Fișa de analiză a unui element cultural</w:t>
      </w:r>
      <w:commentRangeEnd w:id="14"/>
      <w:r>
        <w:commentReference w:id="14"/>
      </w:r>
    </w:p>
    <w:p>
      <w:pPr>
        <w:tabs>
          <w:tab w:val="left" w:pos="709"/>
        </w:tabs>
        <w:spacing w:after="60"/>
        <w:ind w:left="709" w:hanging="357" w:firstLine="0"/>
        <w:jc w:val="left"/>
      </w:pPr>
      <w:r>
        <w:t xml:space="preserve">1.	</w:t>
      </w:r>
      <w:r>
        <w:t xml:space="preserve">Numărul exemplului și pagina din textul sursă și din textul țintă.</w:t>
      </w:r>
    </w:p>
    <w:p>
      <w:pPr>
        <w:tabs>
          <w:tab w:val="left" w:pos="709"/>
        </w:tabs>
        <w:spacing w:after="60"/>
        <w:ind w:left="709" w:hanging="357" w:firstLine="0"/>
        <w:jc w:val="left"/>
      </w:pPr>
      <w:r>
        <w:t xml:space="preserve">2.	</w:t>
      </w:r>
      <w:r>
        <w:t xml:space="preserve">Elementul cultural și contextul în care apare.</w:t>
      </w:r>
    </w:p>
    <w:p>
      <w:pPr>
        <w:tabs>
          <w:tab w:val="left" w:pos="709"/>
        </w:tabs>
        <w:spacing w:after="60"/>
        <w:ind w:left="709" w:hanging="357" w:firstLine="0"/>
        <w:jc w:val="left"/>
      </w:pPr>
      <w:r>
        <w:t xml:space="preserve">3.	</w:t>
      </w:r>
      <w:r>
        <w:t xml:space="preserve">Categoria: alimentație, obiceiuri, instituții, adresare, realii locale.</w:t>
      </w:r>
    </w:p>
    <w:p>
      <w:pPr>
        <w:tabs>
          <w:tab w:val="left" w:pos="709"/>
        </w:tabs>
        <w:spacing w:after="60"/>
        <w:ind w:left="709" w:hanging="357" w:firstLine="0"/>
        <w:jc w:val="left"/>
      </w:pPr>
      <w:r>
        <w:t xml:space="preserve">4.	</w:t>
      </w:r>
      <w:r>
        <w:t xml:space="preserve">Echivalentul din traducere și procedeul folosit.</w:t>
      </w:r>
    </w:p>
    <w:p>
      <w:pPr>
        <w:tabs>
          <w:tab w:val="left" w:pos="709"/>
        </w:tabs>
        <w:spacing w:after="60"/>
        <w:ind w:left="709" w:hanging="357" w:firstLine="0"/>
        <w:jc w:val="left"/>
      </w:pPr>
      <w:r>
        <w:t xml:space="preserve">5.	</w:t>
      </w:r>
      <w:r>
        <w:t xml:space="preserve">Evaluarea: adecvată, parțial adecvată, pierdere de sens, cu justificare.</w:t>
      </w:r>
    </w:p>
    <w:p>
      <w:pPr>
        <w:tabs>
          <w:tab w:val="left" w:pos="709"/>
        </w:tabs>
        <w:spacing w:after="60"/>
        <w:ind w:left="709" w:hanging="357" w:firstLine="0"/>
        <w:jc w:val="left"/>
      </w:pPr>
      <w:r>
        <w:t xml:space="preserve">6.	</w:t>
      </w:r>
      <w:r>
        <w:t xml:space="preserve">Propunere alternativă, dacă este cazul.</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Traducere.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Traducatorul a tradus gresit cuvantul ie cu blouse, pentru ca ia nu e o bluza oarecare. In general traducerea este buna dar are si greseli, de exemplu la cuvintele romanesti care nu exista in engleza. Eu as fi tradus altfel.</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 [Ex. 24], </w:t>
      </w:r>
      <w:r>
        <w:rPr>
          <w:i/>
          <w:iCs/>
        </w:rPr>
        <w:t xml:space="preserve">ie</w:t>
      </w:r>
      <w:r>
        <w:t xml:space="preserve"> este redat prin </w:t>
      </w:r>
      <w:r>
        <w:rPr>
          <w:i/>
          <w:iCs/>
        </w:rPr>
        <w:t xml:space="preserve">blouse</w:t>
      </w:r>
      <w:r>
        <w:t xml:space="preserve">, o generalizare care păstrează sensul denotativ, dar pierde valoarea simbolică a obiectului (Tabelul 6). Pierderile de acest tip sunt rare în corpus: 28 dintre cele 40 de soluții (70,0%) au fost evaluate ca adecvate (Tabelul 7). Pentru acest exemplu propunem explicitarea </w:t>
      </w:r>
      <w:r>
        <w:rPr>
          <w:i/>
          <w:iCs/>
        </w:rPr>
        <w:t xml:space="preserve">embroidered ie blouse</w:t>
      </w:r>
      <w:r>
        <w:t xml:space="preserve">, care păstrează referința culturală (Tabelul 8).</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„A tradus greșit” a devenit o analiză: procedeul (generalizare) și ce se pierde prin el.</w:t>
      </w:r>
    </w:p>
    <w:p>
      <w:pPr>
        <w:tabs>
          <w:tab w:val="left" w:pos="709"/>
        </w:tabs>
        <w:spacing w:after="60"/>
        <w:ind w:left="709" w:hanging="357" w:firstLine="0"/>
        <w:jc w:val="left"/>
      </w:pPr>
      <w:r>
        <w:t xml:space="preserve">3.	</w:t>
      </w:r>
      <w:r>
        <w:t xml:space="preserve">Exemplul este numerotat și trimite la tabelul în format paralel.</w:t>
      </w:r>
    </w:p>
    <w:p>
      <w:pPr>
        <w:tabs>
          <w:tab w:val="left" w:pos="709"/>
        </w:tabs>
        <w:spacing w:after="60"/>
        <w:ind w:left="709" w:hanging="357" w:firstLine="0"/>
        <w:jc w:val="left"/>
      </w:pPr>
      <w:r>
        <w:t xml:space="preserve">4.	</w:t>
      </w:r>
      <w:r>
        <w:t xml:space="preserve">„În general traducerea este bună” a fost înlocuit cu rezultatul evaluării.</w:t>
      </w:r>
    </w:p>
    <w:p>
      <w:pPr>
        <w:tabs>
          <w:tab w:val="left" w:pos="709"/>
        </w:tabs>
        <w:spacing w:after="60"/>
        <w:ind w:left="709" w:hanging="357" w:firstLine="0"/>
        <w:jc w:val="left"/>
      </w:pPr>
      <w:r>
        <w:t xml:space="preserve">5.	</w:t>
      </w:r>
      <w:r>
        <w:t xml:space="preserve">„Eu aș fi tradus altfel” a devenit o propunere concretă, cu procedeul numit.</w:t>
      </w:r>
    </w:p>
    <w:p>
      <w:pPr>
        <w:spacing w:before="360"/>
        <w:ind w:firstLine="0"/>
        <w:jc w:val="left"/>
      </w:pPr>
      <w:r>
        <w:rPr>
          <w:b/>
          <w:bCs/>
        </w:rPr>
        <w:t xml:space="preserve">Vrei aceeași corectare pentru lucrarea ta? </w:t>
      </w:r>
      <w:hyperlink w:history="1" r:id="rIdtdnutnurmut0fyebjukhg">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h20dslpx7sonqcmadb1qa">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ocdao1syf_zibdniyl0nr">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la Traducere precizează perechea de limbi, tipul de text, corpusul, întrebarea de cercetare și cadrul teoretic ales.</w:t>
      </w:r>
    </w:p>
    <w:p>
      <w:r>
        <w:rPr>
          <w:rFonts w:ascii="Arial" w:cs="Arial" w:eastAsia="Arial" w:hAnsi="Arial"/>
          <w:b/>
          <w:bCs/>
          <w:sz w:val="16"/>
          <w:szCs w:val="16"/>
        </w:rPr>
        <w:t xml:space="preserve">Ghid: </w:t>
      </w:r>
      <w:hyperlink w:history="1" r:id="rIdupinsdom7yjpkknfofflx">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Într-o lucrare reală, citează corpusul complet: autor, titlu original, ediție, traducător, an, editură. Ai nevoie de acces la ambele versiuni, sursă și țintă.</w:t>
      </w:r>
    </w:p>
    <w:p>
      <w:r>
        <w:rPr>
          <w:rFonts w:ascii="Arial" w:cs="Arial" w:eastAsia="Arial" w:hAnsi="Arial"/>
          <w:b/>
          <w:bCs/>
          <w:sz w:val="16"/>
          <w:szCs w:val="16"/>
        </w:rPr>
        <w:t xml:space="preserve">Ghid: </w:t>
      </w:r>
      <w:hyperlink w:history="1" r:id="rIdp0wuyxztkgvibvgardoq5">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definește conceptele și tipologia pe care le aplici în analiză. Păstrează doar teoriile pe care le folosești efectiv în capitolul 2.</w:t>
      </w:r>
    </w:p>
    <w:p>
      <w:r>
        <w:rPr>
          <w:rFonts w:ascii="Arial" w:cs="Arial" w:eastAsia="Arial" w:hAnsi="Arial"/>
          <w:b/>
          <w:bCs/>
          <w:sz w:val="16"/>
          <w:szCs w:val="16"/>
        </w:rPr>
        <w:t xml:space="preserve">Ghid: </w:t>
      </w:r>
      <w:hyperlink w:history="1" r:id="rId-n_izonf0tyoos_4lxveq">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amesteca tipologiile fără să spui. Dacă combini procedee din mai mulți autori, precizează de la cine provine fiecare și definește-le o singură dată, apoi folosește aceiași termeni în toată analiza.</w:t>
      </w:r>
    </w:p>
    <w:p>
      <w:r>
        <w:rPr>
          <w:rFonts w:ascii="Arial" w:cs="Arial" w:eastAsia="Arial" w:hAnsi="Arial"/>
          <w:b/>
          <w:bCs/>
          <w:sz w:val="16"/>
          <w:szCs w:val="16"/>
        </w:rPr>
        <w:t xml:space="preserve">Ghid: </w:t>
      </w:r>
      <w:hyperlink w:history="1" r:id="rIdltg6d5yzu4r06rlnzqcyk">
        <w:r>
          <w:rPr>
            <w:rFonts w:ascii="Arial" w:cs="Arial" w:eastAsia="Arial" w:hAnsi="Arial"/>
            <w:color w:val="4B7A5E"/>
            <w:sz w:val="16"/>
            <w:szCs w:val="16"/>
            <w:u w:val="single"/>
          </w:rPr>
          <w:t xml:space="preserve">licenta-disertatie-romania.com/resurse/generator-citare-mla/</w:t>
        </w:r>
      </w:hyperlink>
    </w:p>
  </w:comment>
  <w:comment w:id="8" w:initials="LR" w:author="Rolul secțiunii" w:date="2026-05-20T10:00:00.000Z">
    <w:p>
      <w:r>
        <w:rPr>
          <w:sz w:val="18"/>
          <w:szCs w:val="18"/>
        </w:rPr>
        <w:t xml:space="preserve">Capitolul de analiză prezintă corpusul, metoda și rezultatele: ce procedee apar, cât de des și în ce categorii. Exemplele se prezintă în format paralel și se numerotează ([Ex. 1], [Ex. 2]).</w:t>
      </w:r>
    </w:p>
  </w:comment>
  <w:comment w:id="9" w:initials="LR" w:author="Sfat" w:date="2026-05-20T10:00:00.000Z">
    <w:p>
      <w:r>
        <w:rPr>
          <w:sz w:val="18"/>
          <w:szCs w:val="18"/>
        </w:rPr>
        <w:t xml:space="preserve">Numerotează exemplele o singură dată, în ordinea din corpus, și trimite la ele în text cu același număr: [Ex. 24]. Comisia trebuie să le poată găsi rapid.</w:t>
      </w:r>
    </w:p>
  </w:comment>
  <w:comment w:id="10" w:initials="LR" w:author="Rolul secțiunii" w:date="2026-05-20T10:00:00.000Z">
    <w:p>
      <w:r>
        <w:rPr>
          <w:sz w:val="18"/>
          <w:szCs w:val="18"/>
        </w:rPr>
        <w:t xml:space="preserve">Capitolul de evaluare este contribuția ta: sintetizezi strategia dominantă, evaluezi soluțiile și propui traduceri alternative, argumentate.</w:t>
      </w:r>
    </w:p>
  </w:comment>
  <w:comment w:id="11" w:initials="LR" w:author="Greșeală frecventă" w:date="2026-05-20T10:00:00.000Z">
    <w:p>
      <w:r>
        <w:rPr>
          <w:sz w:val="18"/>
          <w:szCs w:val="18"/>
        </w:rPr>
        <w:t xml:space="preserve">Nu evalua o traducere doar prin „bine” sau „greșit”. Spune după ce criteriu judeci (sensul, funcția în text, cititorul țintă) și aplică același criteriu tuturor exemplelor.</w:t>
      </w:r>
    </w:p>
  </w:comment>
  <w:comment w:id="12" w:initials="LR" w:author="Rolul secțiunii" w:date="2026-05-20T10:00:00.000Z">
    <w:p>
      <w:r>
        <w:rPr>
          <w:sz w:val="18"/>
          <w:szCs w:val="18"/>
        </w:rPr>
        <w:t xml:space="preserve">Concluziile răspund la întrebarea de cercetare, evaluează traducerea în ansamblu și propun direcții de cercetare.</w:t>
      </w:r>
    </w:p>
    <w:p>
      <w:r>
        <w:rPr>
          <w:rFonts w:ascii="Arial" w:cs="Arial" w:eastAsia="Arial" w:hAnsi="Arial"/>
          <w:b/>
          <w:bCs/>
          <w:sz w:val="16"/>
          <w:szCs w:val="16"/>
        </w:rPr>
        <w:t xml:space="preserve">Ghid: </w:t>
      </w:r>
      <w:hyperlink w:history="1" r:id="rIdjrbffshhuimp4an3odeja">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Exemplul folosește stilul MLA. Lucrările lui Newmark, Venuti și Vinay și Darbelnet sunt reale; romanul, traducerea și sursa secundară românească sunt inventate pentru acest exemplu.</w:t>
      </w:r>
    </w:p>
    <w:p>
      <w:r>
        <w:rPr>
          <w:rFonts w:ascii="Arial" w:cs="Arial" w:eastAsia="Arial" w:hAnsi="Arial"/>
          <w:b/>
          <w:bCs/>
          <w:sz w:val="16"/>
          <w:szCs w:val="16"/>
        </w:rPr>
        <w:t xml:space="preserve">Ghid: </w:t>
      </w:r>
      <w:hyperlink w:history="1" r:id="rIdxopbj1lp9jf-q_sp-npnl">
        <w:r>
          <w:rPr>
            <w:rFonts w:ascii="Arial" w:cs="Arial" w:eastAsia="Arial" w:hAnsi="Arial"/>
            <w:color w:val="4B7A5E"/>
            <w:sz w:val="16"/>
            <w:szCs w:val="16"/>
            <w:u w:val="single"/>
          </w:rPr>
          <w:t xml:space="preserve">licenta-disertatie-romania.com/resurse/generator-citare-mla/</w:t>
        </w:r>
      </w:hyperlink>
    </w:p>
  </w:comment>
  <w:comment w:id="14" w:initials="LR" w:author="Rolul secțiunii" w:date="2026-05-20T10:00:00.000Z">
    <w:p>
      <w:r>
        <w:rPr>
          <w:sz w:val="18"/>
          <w:szCs w:val="18"/>
        </w:rPr>
        <w:t xml:space="preserve">Fișa de analiză (sau lista completă a celor 40 de elemente) se pune în anexă. Ea arată că toate exemplele au fost analizate după aceleași criterii.</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diha3tnizhi_1yad3f93c">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7yv16nldtx77impkx88uy">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cqbi-aq0k-2fxwbxrsrhm">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h20dslpx7sonqcmadb1qa" Type="http://schemas.openxmlformats.org/officeDocument/2006/relationships/hyperlink" Target="https://licenta-disertatie-romania.com/blog/cuprins-lucrare-licenta/" TargetMode="External"/><Relationship Id="rIdocdao1syf_zibdniyl0nr" Type="http://schemas.openxmlformats.org/officeDocument/2006/relationships/hyperlink" Target="https://licenta-disertatie-romania.com/blog/formatare-lucrare-licenta/" TargetMode="External"/><Relationship Id="rIdupinsdom7yjpkknfofflx" Type="http://schemas.openxmlformats.org/officeDocument/2006/relationships/hyperlink" Target="https://licenta-disertatie-romania.com/blog/introducere-lucrare-licenta/" TargetMode="External"/><Relationship Id="rIdp0wuyxztkgvibvgardoq5" Type="http://schemas.openxmlformats.org/officeDocument/2006/relationships/hyperlink" Target="https://licenta-disertatie-romania.com/blog/ipoteze-obiective-lucrare-licenta/" TargetMode="External"/><Relationship Id="rId-n_izonf0tyoos_4lxveq" Type="http://schemas.openxmlformats.org/officeDocument/2006/relationships/hyperlink" Target="https://licenta-disertatie-romania.com/blog/structura-lucrare-licenta/" TargetMode="External"/><Relationship Id="rIdltg6d5yzu4r06rlnzqcyk" Type="http://schemas.openxmlformats.org/officeDocument/2006/relationships/hyperlink" Target="https://licenta-disertatie-romania.com/resurse/generator-citare-mla/" TargetMode="External"/><Relationship Id="rIdjrbffshhuimp4an3odeja" Type="http://schemas.openxmlformats.org/officeDocument/2006/relationships/hyperlink" Target="https://licenta-disertatie-romania.com/blog/concluzii-lucrare-licenta/" TargetMode="External"/><Relationship Id="rIdxopbj1lp9jf-q_sp-npnl" Type="http://schemas.openxmlformats.org/officeDocument/2006/relationships/hyperlink" Target="https://licenta-disertatie-romania.com/resurse/generator-citare-mla/" TargetMode="External"/><Relationship Id="rIddiha3tnizhi_1yad3f93c"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tdnutnurmut0fyebjukhg" Type="http://schemas.openxmlformats.org/officeDocument/2006/relationships/hyperlink" Target="https://licenta-disertatie-romania.com/contact/" TargetMode="External"/><Relationship Id="rId10" Type="http://schemas.openxmlformats.org/officeDocument/2006/relationships/image" Target="media/310362b850515b7f633a87f021ff36ea391705d2.png"/><Relationship Id="rId11" Type="http://schemas.openxmlformats.org/officeDocument/2006/relationships/image" Target="media/f0b7b0c6f5e0c10411f6a6bc3b457c0202e9f27b.png"/><Relationship Id="rId12" Type="http://schemas.openxmlformats.org/officeDocument/2006/relationships/image" Target="media/bb63b7b8927ba4f9ac08f8761a50d200744da729.png"/><Relationship Id="rId13" Type="http://schemas.openxmlformats.org/officeDocument/2006/relationships/image" Target="media/286636388d73c8702cfce93be78c2d8a38e827fa.png"/><Relationship Id="rId14" Type="http://schemas.openxmlformats.org/officeDocument/2006/relationships/image" Target="media/3497d13c2365beb24e007c6d98b21e4add08863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v16nldtx77impkx88uy"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cqbi-aq0k-2fxwbxrsrhm"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Traducere și Interpretare</dc:title>
  <dc:creator>Licenta RO</dc:creator>
  <dc:description>Exemplu fictiv cu date simulate: licenta-disertatie-romania.com</dc:description>
  <cp:lastModifiedBy>Un-named</cp:lastModifiedBy>
  <cp:revision>1</cp:revision>
  <dcterms:created xsi:type="dcterms:W3CDTF">2026-10-05T20:23:58.512Z</dcterms:created>
  <dcterms:modified xsi:type="dcterms:W3CDTF">2026-10-05T20:23:58.513Z</dcterms:modified>
</cp:coreProperties>
</file>

<file path=docProps/custom.xml><?xml version="1.0" encoding="utf-8"?>
<Properties xmlns="http://schemas.openxmlformats.org/officeDocument/2006/custom-properties" xmlns:vt="http://schemas.openxmlformats.org/officeDocument/2006/docPropsVTypes"/>
</file>