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STUDII EUROPENE</w:t>
      </w:r>
    </w:p>
    <w:p>
      <w:pPr>
        <w:spacing w:after="0" w:before="60"/>
        <w:ind w:firstLine="0"/>
        <w:jc w:val="center"/>
      </w:pPr>
      <w:r>
        <w:rPr>
          <w:b w:val="false"/>
          <w:bCs w:val="false"/>
          <w:i w:val="false"/>
          <w:iCs w:val="false"/>
        </w:rPr>
        <w:t xml:space="preserve">Programul de studii: Studii europene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Absorbția fondurilor europene într-o regiune de dezvoltare</w:t>
      </w:r>
    </w:p>
    <w:p>
      <w:pPr>
        <w:spacing w:after="0" w:before="120"/>
        <w:ind w:firstLine="0"/>
        <w:jc w:val="center"/>
      </w:pPr>
      <w:r>
        <w:rPr>
          <w:b w:val="false"/>
          <w:bCs w:val="false"/>
          <w:i/>
          <w:iCs/>
          <w:sz w:val="24"/>
          <w:szCs w:val="24"/>
        </w:rPr>
        <w:t xml:space="preserve">Analiză comparativă pe indicatori simulați: Regiunea A și regiunile B–D, perioada de programare 2014–2020</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Ana Mureșan (nume fictiv)</w:t>
      </w:r>
    </w:p>
    <w:p>
      <w:pPr>
        <w:spacing w:before="300"/>
        <w:ind w:firstLine="0"/>
        <w:jc w:val="right"/>
      </w:pPr>
      <w:r>
        <w:rPr>
          <w:b/>
          <w:bCs/>
        </w:rPr>
        <w:t xml:space="preserve">Absolvent:</w:t>
      </w:r>
    </w:p>
    <w:p>
      <w:pPr>
        <w:ind w:firstLine="0"/>
        <w:jc w:val="right"/>
      </w:pPr>
      <w:r>
        <w:t xml:space="preserve">Radu Ilieș (nume fictiv)</w:t>
      </w:r>
    </w:p>
    <w:p>
      <w:pPr>
        <w:spacing w:after="0" w:before="1800"/>
        <w:ind w:firstLine="0"/>
        <w:jc w:val="center"/>
      </w:pPr>
      <w:r>
        <w:rPr>
          <w:b/>
          <w:bCs/>
          <w:i w:val="false"/>
          <w:iCs w:val="false"/>
        </w:rPr>
        <w:t xml:space="preserve">CLUJ-NAPOCA,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Radu Ilieș</w:t>
      </w:r>
      <w:r>
        <w:t xml:space="preserve">, absolvent(ă) al(a) programului de studii Studii europene, declar pe propria răspundere că lucrarea de licență cu titlul „Absorbția fondurilor europene într-o regiune de dezvoltare”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Politica de coeziune și absorbția fondurilor europene</w:t>
      </w:r>
      <w:r>
        <w:t xml:space="preserve">	7</w:t>
      </w:r>
    </w:p>
    <w:p>
      <w:pPr>
        <w:tabs>
          <w:tab w:val="right" w:pos="9026" w:leader="dot"/>
        </w:tabs>
        <w:spacing w:after="40" w:line="300"/>
        <w:ind w:left="400" w:firstLine="0"/>
        <w:jc w:val="left"/>
      </w:pPr>
      <w:r>
        <w:rPr>
          <w:b w:val="false"/>
          <w:bCs w:val="false"/>
        </w:rPr>
        <w:t xml:space="preserve">1.1. Cadrul juridic</w:t>
      </w:r>
      <w:r>
        <w:t xml:space="preserve">	7</w:t>
      </w:r>
    </w:p>
    <w:p>
      <w:pPr>
        <w:tabs>
          <w:tab w:val="right" w:pos="9026" w:leader="dot"/>
        </w:tabs>
        <w:spacing w:after="40" w:line="300"/>
        <w:ind w:left="400" w:firstLine="0"/>
        <w:jc w:val="left"/>
      </w:pPr>
      <w:r>
        <w:rPr>
          <w:b w:val="false"/>
          <w:bCs w:val="false"/>
        </w:rPr>
        <w:t xml:space="preserve">1.2. Capacitatea de absorbție</w:t>
      </w:r>
      <w:r>
        <w:t xml:space="preserve">	7</w:t>
      </w:r>
    </w:p>
    <w:p>
      <w:pPr>
        <w:tabs>
          <w:tab w:val="right" w:pos="9026" w:leader="dot"/>
        </w:tabs>
        <w:spacing w:after="40" w:line="300"/>
        <w:ind w:left="0" w:firstLine="0"/>
        <w:jc w:val="left"/>
      </w:pPr>
      <w:r>
        <w:rPr>
          <w:b/>
          <w:bCs/>
        </w:rPr>
        <w:t xml:space="preserve">Capitolul 2. Analiza comparativă a absorbției în regiunile A–D</w:t>
      </w:r>
      <w:r>
        <w:t xml:space="preserve">	9</w:t>
      </w:r>
    </w:p>
    <w:p>
      <w:pPr>
        <w:tabs>
          <w:tab w:val="right" w:pos="9026" w:leader="dot"/>
        </w:tabs>
        <w:spacing w:after="40" w:line="300"/>
        <w:ind w:left="400" w:firstLine="0"/>
        <w:jc w:val="left"/>
      </w:pPr>
      <w:r>
        <w:rPr>
          <w:b w:val="false"/>
          <w:bCs w:val="false"/>
        </w:rPr>
        <w:t xml:space="preserve">2.1. Date și metodă</w:t>
      </w:r>
      <w:r>
        <w:t xml:space="preserve">	9</w:t>
      </w:r>
    </w:p>
    <w:p>
      <w:pPr>
        <w:tabs>
          <w:tab w:val="right" w:pos="9026" w:leader="dot"/>
        </w:tabs>
        <w:spacing w:after="40" w:line="300"/>
        <w:ind w:left="400" w:firstLine="0"/>
        <w:jc w:val="left"/>
      </w:pPr>
      <w:r>
        <w:rPr>
          <w:b w:val="false"/>
          <w:bCs w:val="false"/>
        </w:rPr>
        <w:t xml:space="preserve">2.2. Comparația regiunilor</w:t>
      </w:r>
      <w:r>
        <w:t xml:space="preserve">	9</w:t>
      </w:r>
    </w:p>
    <w:p>
      <w:pPr>
        <w:tabs>
          <w:tab w:val="right" w:pos="9026" w:leader="dot"/>
        </w:tabs>
        <w:spacing w:after="40" w:line="300"/>
        <w:ind w:left="400" w:firstLine="0"/>
        <w:jc w:val="left"/>
      </w:pPr>
      <w:r>
        <w:rPr>
          <w:b w:val="false"/>
          <w:bCs w:val="false"/>
        </w:rPr>
        <w:t xml:space="preserve">2.3. Programele din Regiunea A</w:t>
      </w:r>
      <w:r>
        <w:t xml:space="preserve">	10</w:t>
      </w:r>
    </w:p>
    <w:p>
      <w:pPr>
        <w:tabs>
          <w:tab w:val="right" w:pos="9026" w:leader="dot"/>
        </w:tabs>
        <w:spacing w:after="40" w:line="300"/>
        <w:ind w:left="400" w:firstLine="0"/>
        <w:jc w:val="left"/>
      </w:pPr>
      <w:r>
        <w:rPr>
          <w:b w:val="false"/>
          <w:bCs w:val="false"/>
        </w:rPr>
        <w:t xml:space="preserve">2.4. Proiectele din Regiunea A</w:t>
      </w:r>
      <w:r>
        <w:t xml:space="preserve">	12</w:t>
      </w:r>
    </w:p>
    <w:p>
      <w:pPr>
        <w:tabs>
          <w:tab w:val="right" w:pos="9026" w:leader="dot"/>
        </w:tabs>
        <w:spacing w:after="40" w:line="300"/>
        <w:ind w:left="400" w:firstLine="0"/>
        <w:jc w:val="left"/>
      </w:pPr>
      <w:r>
        <w:rPr>
          <w:b w:val="false"/>
          <w:bCs w:val="false"/>
        </w:rPr>
        <w:t xml:space="preserve">2.5. Evaluarea autorului și recomandări</w:t>
      </w:r>
      <w:r>
        <w:t xml:space="preserve">	13</w:t>
      </w:r>
    </w:p>
    <w:p>
      <w:pPr>
        <w:tabs>
          <w:tab w:val="right" w:pos="9026" w:leader="dot"/>
        </w:tabs>
        <w:spacing w:after="40" w:line="300"/>
        <w:ind w:left="0" w:firstLine="0"/>
        <w:jc w:val="left"/>
      </w:pPr>
      <w:r>
        <w:rPr>
          <w:b/>
          <w:bCs/>
        </w:rPr>
        <w:t xml:space="preserve">Concluzii</w:t>
      </w:r>
      <w:r>
        <w:t xml:space="preserve">	15</w:t>
      </w:r>
    </w:p>
    <w:p>
      <w:pPr>
        <w:tabs>
          <w:tab w:val="right" w:pos="9026" w:leader="dot"/>
        </w:tabs>
        <w:spacing w:after="40" w:line="300"/>
        <w:ind w:left="0" w:firstLine="0"/>
        <w:jc w:val="left"/>
      </w:pPr>
      <w:r>
        <w:rPr>
          <w:b/>
          <w:bCs/>
        </w:rPr>
        <w:t xml:space="preserve">Bibliografie</w:t>
      </w:r>
      <w:r>
        <w:t xml:space="preserve">	16</w:t>
      </w:r>
    </w:p>
    <w:p>
      <w:pPr>
        <w:tabs>
          <w:tab w:val="right" w:pos="9026" w:leader="dot"/>
        </w:tabs>
        <w:spacing w:after="40" w:line="300"/>
        <w:ind w:left="0" w:firstLine="0"/>
        <w:jc w:val="left"/>
      </w:pPr>
      <w:r>
        <w:rPr>
          <w:b/>
          <w:bCs/>
        </w:rPr>
        <w:t xml:space="preserve">Anexa 1. Fișa de analiză a unui proiect</w:t>
      </w:r>
      <w:r>
        <w:t xml:space="preserve">	17</w:t>
      </w:r>
    </w:p>
    <w:p>
      <w:pPr>
        <w:tabs>
          <w:tab w:val="right" w:pos="9026" w:leader="dot"/>
        </w:tabs>
        <w:spacing w:after="40" w:line="300"/>
        <w:ind w:left="0" w:firstLine="0"/>
        <w:jc w:val="left"/>
      </w:pPr>
      <w:r>
        <w:rPr>
          <w:b/>
          <w:bCs/>
        </w:rPr>
        <w:t xml:space="preserve">Bonus: același paragraf, înainte și după corectare</w:t>
      </w:r>
      <w:r>
        <w:t xml:space="preserve">	18</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Repere pentru perioada de programare analizată</w:t>
      </w:r>
      <w:r>
        <w:t xml:space="preserve">	7</w:t>
      </w:r>
    </w:p>
    <w:p>
      <w:pPr>
        <w:tabs>
          <w:tab w:val="right" w:pos="9026" w:leader="dot"/>
        </w:tabs>
        <w:spacing w:after="40" w:line="300"/>
        <w:ind w:left="0" w:firstLine="0"/>
        <w:jc w:val="left"/>
      </w:pPr>
      <w:r>
        <w:rPr>
          <w:b w:val="false"/>
          <w:bCs w:val="false"/>
        </w:rPr>
        <w:t xml:space="preserve">Figura 2. Factorii care influențează capacitatea de absorbție a unei regiuni</w:t>
      </w:r>
      <w:r>
        <w:t xml:space="preserve">	8</w:t>
      </w:r>
    </w:p>
    <w:p>
      <w:pPr>
        <w:tabs>
          <w:tab w:val="right" w:pos="9026" w:leader="dot"/>
        </w:tabs>
        <w:spacing w:after="40" w:line="300"/>
        <w:ind w:left="0" w:firstLine="0"/>
        <w:jc w:val="left"/>
      </w:pPr>
      <w:r>
        <w:rPr>
          <w:b w:val="false"/>
          <w:bCs w:val="false"/>
        </w:rPr>
        <w:t xml:space="preserve">Figura 3. Etapele analizei</w:t>
      </w:r>
      <w:r>
        <w:t xml:space="preserve">	9</w:t>
      </w:r>
    </w:p>
    <w:p>
      <w:pPr>
        <w:tabs>
          <w:tab w:val="right" w:pos="9026" w:leader="dot"/>
        </w:tabs>
        <w:spacing w:after="40" w:line="300"/>
        <w:ind w:left="0" w:firstLine="0"/>
        <w:jc w:val="left"/>
      </w:pPr>
      <w:r>
        <w:rPr>
          <w:b w:val="false"/>
          <w:bCs w:val="false"/>
        </w:rPr>
        <w:t xml:space="preserve">Figura 4. Rata de absorbție, pe regiuni, la 31.12.2023 (%)</w:t>
      </w:r>
      <w:r>
        <w:t xml:space="preserve">	10</w:t>
      </w:r>
    </w:p>
    <w:p>
      <w:pPr>
        <w:tabs>
          <w:tab w:val="right" w:pos="9026" w:leader="dot"/>
        </w:tabs>
        <w:spacing w:after="40" w:line="300"/>
        <w:ind w:left="0" w:firstLine="0"/>
        <w:jc w:val="left"/>
      </w:pPr>
      <w:r>
        <w:rPr>
          <w:b w:val="false"/>
          <w:bCs w:val="false"/>
        </w:rPr>
        <w:t xml:space="preserve">Figura 5. Plăți și rest de absorbit în Regiunea A, pe programe (mil. euro)</w:t>
      </w:r>
      <w:r>
        <w:t xml:space="preserve">	11</w:t>
      </w:r>
    </w:p>
    <w:p>
      <w:pPr>
        <w:tabs>
          <w:tab w:val="right" w:pos="9026" w:leader="dot"/>
        </w:tabs>
        <w:spacing w:after="40" w:line="300"/>
        <w:ind w:left="0" w:firstLine="0"/>
        <w:jc w:val="left"/>
      </w:pPr>
      <w:r>
        <w:rPr>
          <w:b w:val="false"/>
          <w:bCs w:val="false"/>
        </w:rPr>
        <w:t xml:space="preserve">Figura 6. Evoluția ratei de absorbție cumulate, 2016–2023 (%)</w:t>
      </w:r>
      <w:r>
        <w:t xml:space="preserve">	12</w:t>
      </w:r>
    </w:p>
    <w:p>
      <w:pPr>
        <w:tabs>
          <w:tab w:val="right" w:pos="9026" w:leader="dot"/>
        </w:tabs>
        <w:spacing w:after="40" w:line="300"/>
        <w:ind w:left="0" w:firstLine="0"/>
        <w:jc w:val="left"/>
      </w:pPr>
      <w:r>
        <w:rPr>
          <w:b w:val="false"/>
          <w:bCs w:val="false"/>
        </w:rPr>
        <w:t xml:space="preserve">Figura 7. Distribuția întârzierilor la implementare, pe tipuri de beneficiari</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Cadrul juridic al fondurilor europene folosit în lucrare</w:t>
      </w:r>
      <w:r>
        <w:t xml:space="preserve">	7</w:t>
      </w:r>
    </w:p>
    <w:p>
      <w:pPr>
        <w:tabs>
          <w:tab w:val="right" w:pos="9026" w:leader="dot"/>
        </w:tabs>
        <w:spacing w:after="40" w:line="300"/>
        <w:ind w:left="0" w:firstLine="0"/>
        <w:jc w:val="left"/>
      </w:pPr>
      <w:r>
        <w:rPr>
          <w:b w:val="false"/>
          <w:bCs w:val="false"/>
        </w:rPr>
        <w:t xml:space="preserve">Tabelul 2. Indicatorii de absorbție folosiți în analiză</w:t>
      </w:r>
      <w:r>
        <w:t xml:space="preserve">	8</w:t>
      </w:r>
    </w:p>
    <w:p>
      <w:pPr>
        <w:tabs>
          <w:tab w:val="right" w:pos="9026" w:leader="dot"/>
        </w:tabs>
        <w:spacing w:after="40" w:line="300"/>
        <w:ind w:left="0" w:firstLine="0"/>
        <w:jc w:val="left"/>
      </w:pPr>
      <w:r>
        <w:rPr>
          <w:b w:val="false"/>
          <w:bCs w:val="false"/>
        </w:rPr>
        <w:t xml:space="preserve">Tabelul 3. Alocări, contractări și plăți în regiunile A–D, perioada 2014–2020 (situația la 31.12.2023, mil. euro)</w:t>
      </w:r>
      <w:r>
        <w:t xml:space="preserve">	9</w:t>
      </w:r>
    </w:p>
    <w:p>
      <w:pPr>
        <w:tabs>
          <w:tab w:val="right" w:pos="9026" w:leader="dot"/>
        </w:tabs>
        <w:spacing w:after="40" w:line="300"/>
        <w:ind w:left="0" w:firstLine="0"/>
        <w:jc w:val="left"/>
      </w:pPr>
      <w:r>
        <w:rPr>
          <w:b w:val="false"/>
          <w:bCs w:val="false"/>
        </w:rPr>
        <w:t xml:space="preserve">Tabelul 4. Absorbția în Regiunea A, pe programe (mil. euro)</w:t>
      </w:r>
      <w:r>
        <w:t xml:space="preserve">	10</w:t>
      </w:r>
    </w:p>
    <w:p>
      <w:pPr>
        <w:tabs>
          <w:tab w:val="right" w:pos="9026" w:leader="dot"/>
        </w:tabs>
        <w:spacing w:after="40" w:line="300"/>
        <w:ind w:left="0" w:firstLine="0"/>
        <w:jc w:val="left"/>
      </w:pPr>
      <w:r>
        <w:rPr>
          <w:b w:val="false"/>
          <w:bCs w:val="false"/>
        </w:rPr>
        <w:t xml:space="preserve">Tabelul 5. Rata de absorbție cumulată, Regiunea A și totalul regiunilor A–D, 2016–2023 (%)</w:t>
      </w:r>
      <w:r>
        <w:t xml:space="preserve">	11</w:t>
      </w:r>
    </w:p>
    <w:p>
      <w:pPr>
        <w:tabs>
          <w:tab w:val="right" w:pos="9026" w:leader="dot"/>
        </w:tabs>
        <w:spacing w:after="40" w:line="300"/>
        <w:ind w:left="0" w:firstLine="0"/>
        <w:jc w:val="left"/>
      </w:pPr>
      <w:r>
        <w:rPr>
          <w:b w:val="false"/>
          <w:bCs w:val="false"/>
        </w:rPr>
        <w:t xml:space="preserve">Tabelul 6. Întârzierea la implementare, în funcție de tipul beneficiarului (luni)</w:t>
      </w:r>
      <w:r>
        <w:t xml:space="preserve">	12</w:t>
      </w:r>
    </w:p>
    <w:p>
      <w:pPr>
        <w:tabs>
          <w:tab w:val="right" w:pos="9026" w:leader="dot"/>
        </w:tabs>
        <w:spacing w:after="40" w:line="300"/>
        <w:ind w:left="0" w:firstLine="0"/>
        <w:jc w:val="left"/>
      </w:pPr>
      <w:r>
        <w:rPr>
          <w:b w:val="false"/>
          <w:bCs w:val="false"/>
        </w:rPr>
        <w:t xml:space="preserve">Tabelul 7. Proiectele cu întârzieri de peste 3 luni, pe tipuri de beneficiari</w:t>
      </w:r>
      <w:r>
        <w:t xml:space="preserve">	13</w:t>
      </w:r>
    </w:p>
    <w:p>
      <w:pPr>
        <w:tabs>
          <w:tab w:val="right" w:pos="9026" w:leader="dot"/>
        </w:tabs>
        <w:spacing w:after="40" w:line="300"/>
        <w:ind w:left="0" w:firstLine="0"/>
        <w:jc w:val="left"/>
      </w:pPr>
      <w:r>
        <w:rPr>
          <w:b w:val="false"/>
          <w:bCs w:val="false"/>
        </w:rPr>
        <w:t xml:space="preserve">Tabelul 8. Recomandările autorului pentru creșterea absorbției în Regiunea A</w:t>
      </w:r>
      <w:r>
        <w:t xml:space="preserve">	14</w:t>
      </w:r>
    </w:p>
    <w:p>
      <w:pPr>
        <w:pStyle w:val="Heading1"/>
        <w:pageBreakBefore/>
      </w:pPr>
      <w:commentRangeStart w:id="3"/>
      <w:r>
        <w:t xml:space="preserve">Rezumat</w:t>
      </w:r>
      <w:commentRangeEnd w:id="3"/>
      <w:r>
        <w:commentReference w:id="3"/>
      </w:r>
    </w:p>
    <w:p>
      <w:r>
        <w:t xml:space="preserve">Lucrarea analizează absorbția fondurilor europene din perioada de programare 2014–2020 într-o regiune de dezvoltare, comparată cu alte trei regiuni. Regiunile sunt generice (A–D), iar toate datele sunt simulate pentru acest exemplu. Pornind de la cadrul juridic al politicii de coeziune și de la conceptul de capacitate de absorbție, am comparat ratele de contractare și de absorbție ale celor patru regiuni și am analizat 160 de proiecte din Regiunea A. Rezultatele arată că Regiunea A a absorbit 65,0% din alocare, sub totalul regiunilor (70,3%), iar decalajul se datorează mai ales programului de transport și întârzierilor proiectelor autorităților locale. Propunem monitorizarea lunară a proiectelor cu risc, pregătirea proiectelor înainte de lansarea apelurilor și asistență tehnică pentru comunele mici.</w:t>
      </w:r>
    </w:p>
    <w:p>
      <w:pPr>
        <w:spacing w:after="400"/>
        <w:ind w:firstLine="0"/>
        <w:jc w:val="left"/>
      </w:pPr>
      <w:r>
        <w:rPr>
          <w:b/>
          <w:bCs/>
        </w:rPr>
        <w:t xml:space="preserve">Cuvinte-cheie:</w:t>
      </w:r>
      <w:r>
        <w:t xml:space="preserve"> fonduri europene, politica de coeziune, absorbție, dezvoltare regională, capacitate administrativă</w:t>
      </w:r>
    </w:p>
    <w:p>
      <w:pPr>
        <w:spacing w:after="200"/>
        <w:ind w:firstLine="0"/>
        <w:jc w:val="center"/>
      </w:pPr>
      <w:r>
        <w:rPr>
          <w:b/>
          <w:bCs/>
          <w:color w:val="16233F"/>
          <w:sz w:val="26"/>
          <w:szCs w:val="26"/>
        </w:rPr>
        <w:t xml:space="preserve">Abstract</w:t>
      </w:r>
    </w:p>
    <w:p>
      <w:r>
        <w:t xml:space="preserve">This thesis analyses the absorption of European funds from the 2014–2020 programming period in one development region, compared with three other regions. The regions are generic (A–D) and all data are simulated for this example. Building on the legal framework of cohesion policy and on the concept of absorption capacity, the thesis compares the contracting and absorption rates of the four regions and analyses 160 projects in Region A. The results show that Region A absorbed 65.0% of its allocation, below the four-region total (70.3%), and that the gap is due mainly to the transport programme and to delays in projects run by local authorities. The thesis recommends monthly monitoring of projects at risk, preparing projects before calls are launched and technical assistance for small municipalities.</w:t>
      </w:r>
    </w:p>
    <w:p>
      <w:pPr>
        <w:ind w:firstLine="0"/>
        <w:jc w:val="left"/>
      </w:pPr>
      <w:r>
        <w:rPr>
          <w:b/>
          <w:bCs/>
        </w:rPr>
        <w:t xml:space="preserve">Keywords:</w:t>
      </w:r>
      <w:r>
        <w:t xml:space="preserve"> European funds, cohesion policy, absorption, regional development, administrative capacity</w:t>
      </w:r>
    </w:p>
    <w:p>
      <w:pPr>
        <w:pStyle w:val="Heading1"/>
        <w:pageBreakBefore/>
      </w:pPr>
      <w:commentRangeStart w:id="4"/>
      <w:r>
        <w:t xml:space="preserve">Introducere</w:t>
      </w:r>
      <w:commentRangeEnd w:id="4"/>
      <w:r>
        <w:commentReference w:id="4"/>
      </w:r>
    </w:p>
    <w:p>
      <w:r>
        <w:t xml:space="preserve">Fondurile europene sunt una dintre principalele surse de investiții publice în regiunile mai puțin dezvoltate ale Uniunii. Banii alocați nu ajung însă automat în regiune: ei trebuie angajați în proiecte, cheltuiți la timp și justificați, iar sumele necheltuite în termen se pierd.</w:t>
      </w:r>
    </w:p>
    <w:p>
      <w:r>
        <w:rPr>
          <w:b/>
          <w:bCs/>
        </w:rPr>
        <w:t xml:space="preserve">Întrebarea de cercetare</w:t>
      </w:r>
      <w:r>
        <w:t xml:space="preserve"> este următoarea: de ce absoarbe o regiune de dezvoltare mai puțin decât regiunile comparabile și ce s-ar putea schimba? Lucrarea compară patru regiuni generice, numite </w:t>
      </w:r>
      <w:r>
        <w:rPr>
          <w:b/>
          <w:bCs/>
        </w:rPr>
        <w:t xml:space="preserve">Regiunea A–D</w:t>
      </w:r>
      <w:r>
        <w:t xml:space="preserve">, și analizează în detaliu Regiunea A.</w:t>
      </w:r>
    </w:p>
    <w:p>
      <w:commentRangeStart w:id="5"/>
      <w:r>
        <w:rPr>
          <w:b/>
          <w:bCs/>
        </w:rPr>
        <w:t xml:space="preserve">Obiectivele</w:t>
      </w:r>
      <w:r>
        <w:t xml:space="preserve"> sunt: (1) definirea indicatorilor de absorbție și a cadrului juridic; (2) compararea regiunilor A–D după acești indicatori; (3) identificarea programelor și a tipurilor de beneficiari cu probleme în Regiunea A; (4) formularea unor recomandări.</w:t>
      </w:r>
      <w:commentRangeEnd w:id="5"/>
      <w:r>
        <w:commentReference w:id="5"/>
      </w:r>
    </w:p>
    <w:p>
      <w:pPr>
        <w:pStyle w:val="Heading1"/>
        <w:pageBreakBefore/>
      </w:pPr>
      <w:commentRangeStart w:id="6"/>
      <w:r>
        <w:t xml:space="preserve">Capitolul 1. Politica de coeziune și absorbția fondurilor europene</w:t>
      </w:r>
      <w:commentRangeEnd w:id="6"/>
      <w:r>
        <w:commentReference w:id="6"/>
      </w:r>
    </w:p>
    <w:p>
      <w:pPr>
        <w:pStyle w:val="Heading2"/>
        <w:keepNext/>
      </w:pPr>
      <w:r>
        <w:t xml:space="preserve">1.1. Cadrul juridic</w:t>
      </w:r>
    </w:p>
    <w:p>
      <w:r>
        <w:t xml:space="preserve">Pentru perioada 2014–2020, regulile comune ale fondurilor europene structurale și de investiții sunt stabilite de Regulamentul (UE) nr. 1303/2013, care prevede, printre altele, eligibilitatea cheltuielilor plătite până la 31 decembrie 2023 și dezangajarea automată a sumelor necheltuite la timp. Perioada actuală este reglementată de Regulamentul (UE) 2021/1060 (Tabelul 1, Figura 1).</w:t>
      </w:r>
    </w:p>
    <w:p>
      <w:pPr>
        <w:keepNext/>
        <w:spacing w:after="80" w:before="200" w:line="260"/>
        <w:ind w:firstLine="0"/>
        <w:jc w:val="left"/>
      </w:pPr>
      <w:r>
        <w:rPr>
          <w:b/>
          <w:bCs/>
          <w:sz w:val="22"/>
          <w:szCs w:val="22"/>
        </w:rPr>
        <w:t xml:space="preserve">Tabelul 1.</w:t>
      </w:r>
      <w:r>
        <w:rPr>
          <w:sz w:val="22"/>
          <w:szCs w:val="22"/>
        </w:rPr>
        <w:t xml:space="preserve"> Cadrul juridic al fondurilor europene folosit în lucrare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689"/>
        <w:gridCol w:w="1383"/>
        <w:gridCol w:w="3997"/>
      </w:tblGrid>
      <w:tr>
        <w:trPr>
          <w:tblHeader/>
        </w:trPr>
        <w:tc>
          <w:tcPr>
            <w:tcW w:type="dxa" w:w="36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Actul</w:t>
            </w:r>
          </w:p>
        </w:tc>
        <w:tc>
          <w:tcPr>
            <w:tcW w:type="dxa" w:w="13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Perioada</w:t>
            </w:r>
          </w:p>
        </w:tc>
        <w:tc>
          <w:tcPr>
            <w:tcW w:type="dxa" w:w="39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reglementează</w:t>
            </w:r>
          </w:p>
        </w:tc>
      </w:tr>
      <w:tr>
        <w:trPr>
          <w:cantSplit/>
        </w:trPr>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Regulamentul (UE) nr. 1303/2013 al Parlamentului European și al Consiliului</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2014–2020</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Dispozițiile comune pentru fondurile europene structurale și de investiții, inclusiv eligibilitatea cheltuielilor și dezangajarea automată</w:t>
            </w:r>
          </w:p>
        </w:tc>
      </w:tr>
      <w:tr>
        <w:trPr>
          <w:cantSplit/>
        </w:trPr>
        <w:tc>
          <w:tcPr>
            <w:tcW w:type="dxa" w:w="36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Regulamentul (UE) 2021/1060 al Parlamentului European și al Consiliului</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2021–2027</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Dispozițiile comune pentru fondurile politicii de coeziune în perioada actuală</w:t>
            </w:r>
          </w:p>
        </w:tc>
      </w:tr>
    </w:tbl>
    <w:p>
      <w:pPr>
        <w:spacing w:after="200" w:before="40" w:line="240"/>
        <w:ind w:firstLine="0"/>
        <w:jc w:val="left"/>
      </w:pPr>
      <w:r>
        <w:rPr>
          <w:i/>
          <w:iCs/>
          <w:color w:val="7A8191"/>
          <w:sz w:val="18"/>
          <w:szCs w:val="18"/>
        </w:rPr>
        <w:t xml:space="preserve">Sursa: Prelucrare proprie după textele regulamentelor (EUR-Lex).</w:t>
      </w:r>
    </w:p>
    <w:p>
      <w:pPr>
        <w:keepNext/>
        <w:spacing w:after="60" w:before="160" w:line="240"/>
        <w:ind w:firstLine="0"/>
        <w:jc w:val="center"/>
      </w:pPr>
      <w:r>
        <w:drawing>
          <wp:inline distT="0" distB="0" distL="0" distR="0">
            <wp:extent cx="5762625" cy="2381250"/>
            <wp:effectExtent t="0" r="0" b="0" l="0"/>
            <wp:docPr id="1" name="Figura 1" descr="Repere pentru perioada de programare analizată" title="Repere pentru perioada de programare analiza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Repere pentru perioada de programare analizată</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2"/>
        <w:keepNext/>
      </w:pPr>
      <w:r>
        <w:t xml:space="preserve">1.2. Capacitatea de absorbție</w:t>
      </w:r>
    </w:p>
    <w:p>
      <w:r>
        <w:t xml:space="preserve">Capacitatea de absorbție este măsura în care un stat sau o regiune reușește să cheltuiască eficient și la timp fondurile alocate (Dobrescu, 2020). Literatura o leagă de capacitatea administrativă, de cofinanțarea disponibilă și de existența unor proiecte pregătite (Figura 2).</w:t>
      </w:r>
    </w:p>
    <w:p>
      <w:pPr>
        <w:keepNext/>
        <w:spacing w:after="60" w:before="160" w:line="240"/>
        <w:ind w:firstLine="0"/>
        <w:jc w:val="center"/>
      </w:pPr>
      <w:r>
        <w:drawing>
          <wp:inline distT="0" distB="0" distL="0" distR="0">
            <wp:extent cx="5762625" cy="3114675"/>
            <wp:effectExtent t="0" r="0" b="0" l="0"/>
            <wp:docPr id="2" name="Figura 2" descr="Factorii care influențează capacitatea de absorbție a unei regiuni" title="Factorii care influențează capacitatea de absorbție a unei regi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Factorii care influențează capacitatea de absorbție a unei regiuni</w:t>
      </w:r>
    </w:p>
    <w:p>
      <w:pPr>
        <w:spacing w:after="200" w:line="240"/>
        <w:ind w:firstLine="0"/>
        <w:jc w:val="center"/>
      </w:pPr>
      <w:r>
        <w:rPr>
          <w:i/>
          <w:iCs/>
          <w:color w:val="7A8191"/>
          <w:sz w:val="18"/>
          <w:szCs w:val="18"/>
        </w:rPr>
        <w:t xml:space="preserve">Sursa: Prelucrare proprie.</w:t>
      </w:r>
    </w:p>
    <w:p>
      <w:r>
        <w:t xml:space="preserve">Pentru comparație, lucrarea folosește patru indicatori simpli (Tabelul 2). Rata de absorbție, calculată pe baza plăților primite, este indicatorul principal, pentru că arată câți bani au ajuns efectiv în regiune.</w:t>
      </w:r>
    </w:p>
    <w:p>
      <w:pPr>
        <w:keepNext/>
        <w:spacing w:after="80" w:before="200" w:line="260"/>
        <w:ind w:firstLine="0"/>
        <w:jc w:val="left"/>
      </w:pPr>
      <w:r>
        <w:rPr>
          <w:b/>
          <w:bCs/>
          <w:sz w:val="22"/>
          <w:szCs w:val="22"/>
        </w:rPr>
        <w:t xml:space="preserve">Tabelul 2.</w:t>
      </w:r>
      <w:r>
        <w:rPr>
          <w:sz w:val="22"/>
          <w:szCs w:val="22"/>
        </w:rPr>
        <w:t xml:space="preserve"> Indicatorii de absorbție folosiți în analiză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418"/>
        <w:gridCol w:w="3326"/>
        <w:gridCol w:w="3326"/>
      </w:tblGrid>
      <w:tr>
        <w:trPr>
          <w:tblHeader/>
        </w:trPr>
        <w:tc>
          <w:tcPr>
            <w:tcW w:type="dxa" w:w="24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332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Formula</w:t>
            </w:r>
          </w:p>
        </w:tc>
        <w:tc>
          <w:tcPr>
            <w:tcW w:type="dxa" w:w="332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arată</w:t>
            </w:r>
          </w:p>
        </w:tc>
      </w:tr>
      <w:tr>
        <w:trPr>
          <w:cantSplit/>
        </w:trPr>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Rata de contractare</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Valoarea contractată / alocarea × 100</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Cât din bani au fost angajați în proiecte</w:t>
            </w:r>
          </w:p>
        </w:tc>
      </w:tr>
      <w:tr>
        <w:trPr>
          <w:cantSplit/>
        </w:trPr>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Rata de absorbție</w:t>
            </w:r>
          </w:p>
        </w:tc>
        <w:tc>
          <w:tcPr>
            <w:tcW w:type="dxa" w:w="33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Plățile primite de la Comisie / alocarea × 100</w:t>
            </w:r>
          </w:p>
        </w:tc>
        <w:tc>
          <w:tcPr>
            <w:tcW w:type="dxa" w:w="33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Cât din bani au ajuns efectiv în regiune</w:t>
            </w:r>
          </w:p>
        </w:tc>
      </w:tr>
      <w:tr>
        <w:trPr>
          <w:cantSplit/>
        </w:trPr>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Restul de absorbit</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Alocarea – plățile</w:t>
            </w:r>
          </w:p>
        </w:tc>
        <w:tc>
          <w:tcPr>
            <w:tcW w:type="dxa" w:w="33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Suma care mai poate fi pierdută</w:t>
            </w:r>
          </w:p>
        </w:tc>
      </w:tr>
      <w:tr>
        <w:trPr>
          <w:cantSplit/>
        </w:trPr>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Întârzierea medie</w:t>
            </w:r>
          </w:p>
        </w:tc>
        <w:tc>
          <w:tcPr>
            <w:tcW w:type="dxa" w:w="33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Luni de depășire a termenului inițial</w:t>
            </w:r>
          </w:p>
        </w:tc>
        <w:tc>
          <w:tcPr>
            <w:tcW w:type="dxa" w:w="33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Capacitatea beneficiarilor de a implementa</w:t>
            </w:r>
          </w:p>
        </w:tc>
      </w:tr>
    </w:tbl>
    <w:p>
      <w:pPr>
        <w:spacing w:after="200" w:before="40" w:line="240"/>
        <w:ind w:firstLine="0"/>
        <w:jc w:val="left"/>
      </w:pPr>
      <w:commentRangeStart w:id="8"/>
      <w:r>
        <w:rPr>
          <w:i/>
          <w:iCs/>
          <w:color w:val="7A8191"/>
          <w:sz w:val="18"/>
          <w:szCs w:val="18"/>
        </w:rPr>
        <w:t xml:space="preserve">Sursa: Prelucrare proprie.</w:t>
      </w:r>
      <w:commentRangeEnd w:id="8"/>
      <w:r>
        <w:commentReference w:id="8"/>
      </w:r>
    </w:p>
    <w:p>
      <w:pPr>
        <w:pStyle w:val="Heading1"/>
        <w:pageBreakBefore/>
      </w:pPr>
      <w:commentRangeStart w:id="9"/>
      <w:r>
        <w:t xml:space="preserve">Capitolul 2. Analiza comparativă a absorbției în regiunile A–D</w:t>
      </w:r>
      <w:commentRangeEnd w:id="9"/>
      <w:r>
        <w:commentReference w:id="9"/>
      </w:r>
    </w:p>
    <w:p>
      <w:pPr>
        <w:pStyle w:val="Heading2"/>
        <w:keepNext/>
      </w:pPr>
      <w:r>
        <w:t xml:space="preserve">2.1. Date și metodă</w:t>
      </w:r>
    </w:p>
    <w:p>
      <w:r>
        <w:t xml:space="preserve">Analiza urmează etapele din Figura 3. Pentru cele patru regiuni s-au folosit indicatori agregați la 31 decembrie 2023, iar pentru Regiunea A s-a analizat și un set de 160 de proiecte. Toate datele sunt </w:t>
      </w:r>
      <w:r>
        <w:rPr>
          <w:b/>
          <w:bCs/>
        </w:rPr>
        <w:t xml:space="preserve">simulate</w:t>
      </w:r>
      <w:r>
        <w:t xml:space="preserve"> pentru acest exemplu și nu descriu nicio regiune reală.</w:t>
      </w:r>
    </w:p>
    <w:p>
      <w:pPr>
        <w:keepNext/>
        <w:spacing w:after="60" w:before="160" w:line="240"/>
        <w:ind w:firstLine="0"/>
        <w:jc w:val="center"/>
      </w:pPr>
      <w:r>
        <w:drawing>
          <wp:inline distT="0" distB="0" distL="0" distR="0">
            <wp:extent cx="5762625" cy="2009775"/>
            <wp:effectExtent t="0" r="0" b="0" l="0"/>
            <wp:docPr id="3" name="Figura 3" descr="Etapele analizei" title="Etapele analiz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analizei</w:t>
      </w:r>
    </w:p>
    <w:p>
      <w:pPr>
        <w:spacing w:after="200" w:line="240"/>
        <w:ind w:firstLine="0"/>
        <w:jc w:val="center"/>
      </w:pPr>
      <w:r>
        <w:rPr>
          <w:i/>
          <w:iCs/>
          <w:color w:val="7A8191"/>
          <w:sz w:val="18"/>
          <w:szCs w:val="18"/>
        </w:rPr>
        <w:t xml:space="preserve">Sursa: Prelucrare proprie.</w:t>
      </w:r>
    </w:p>
    <w:p>
      <w:pPr>
        <w:pStyle w:val="Heading2"/>
        <w:keepNext/>
      </w:pPr>
      <w:r>
        <w:t xml:space="preserve">2.2. Comparația regiunilor</w:t>
      </w:r>
    </w:p>
    <w:p>
      <w:r>
        <w:t xml:space="preserve">Regiunea A are o rată de absorbție de 65,0%, sub totalul celor patru regiuni (70,3%), și o rată de contractare de 92,0% (Tabelul 3, Figura 4). Regiunea C a contractat peste alocare (103,0%) și are cea mai mare rată de absorbție (82,0%), iar Regiunea D are cele mai slabe rezultate la ambii indicatori.</w:t>
      </w:r>
    </w:p>
    <w:p>
      <w:pPr>
        <w:keepNext/>
        <w:spacing w:after="80" w:before="200" w:line="260"/>
        <w:ind w:firstLine="0"/>
        <w:jc w:val="left"/>
      </w:pPr>
      <w:r>
        <w:rPr>
          <w:b/>
          <w:bCs/>
          <w:sz w:val="22"/>
          <w:szCs w:val="22"/>
        </w:rPr>
        <w:t xml:space="preserve">Tabelul 3.</w:t>
      </w:r>
      <w:r>
        <w:rPr>
          <w:sz w:val="22"/>
          <w:szCs w:val="22"/>
        </w:rPr>
        <w:t xml:space="preserve"> Alocări, contractări și plăți în regiunile A–D, perioada 2014–2020 (situația la 31.12.2023, mil. euro)</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30"/>
        <w:gridCol w:w="1218"/>
        <w:gridCol w:w="1353"/>
        <w:gridCol w:w="1218"/>
        <w:gridCol w:w="1624"/>
        <w:gridCol w:w="1624"/>
      </w:tblGrid>
      <w:tr>
        <w:trPr>
          <w:tblHeader/>
        </w:trPr>
        <w:tc>
          <w:tcPr>
            <w:tcW w:type="dxa" w:w="20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Regiunea</w:t>
            </w:r>
          </w:p>
        </w:tc>
        <w:tc>
          <w:tcPr>
            <w:tcW w:type="dxa" w:w="1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Alocare</w:t>
            </w:r>
          </w:p>
        </w:tc>
        <w:tc>
          <w:tcPr>
            <w:tcW w:type="dxa" w:w="13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Contractat</w:t>
            </w:r>
          </w:p>
        </w:tc>
        <w:tc>
          <w:tcPr>
            <w:tcW w:type="dxa" w:w="1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Plăți</w:t>
            </w:r>
          </w:p>
        </w:tc>
        <w:tc>
          <w:tcPr>
            <w:tcW w:type="dxa" w:w="16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Rata de contractare (%)</w:t>
            </w:r>
          </w:p>
        </w:tc>
        <w:tc>
          <w:tcPr>
            <w:tcW w:type="dxa" w:w="16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Rata de absorbție (%)</w:t>
            </w:r>
          </w:p>
        </w:tc>
      </w:tr>
      <w:tr>
        <w:trPr>
          <w:cantSplit/>
        </w:trPr>
        <w:tc>
          <w:tcPr>
            <w:tcW w:type="dxa" w:w="20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Regiunea A</w:t>
            </w:r>
          </w:p>
        </w:tc>
        <w:tc>
          <w:tcPr>
            <w:tcW w:type="dxa" w:w="1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1 200</w:t>
            </w:r>
          </w:p>
        </w:tc>
        <w:tc>
          <w:tcPr>
            <w:tcW w:type="dxa" w:w="13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1 104</w:t>
            </w:r>
          </w:p>
        </w:tc>
        <w:tc>
          <w:tcPr>
            <w:tcW w:type="dxa" w:w="1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780</w:t>
            </w:r>
          </w:p>
        </w:tc>
        <w:tc>
          <w:tcPr>
            <w:tcW w:type="dxa" w:w="16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92,0</w:t>
            </w:r>
          </w:p>
        </w:tc>
        <w:tc>
          <w:tcPr>
            <w:tcW w:type="dxa" w:w="16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65,0</w:t>
            </w:r>
          </w:p>
        </w:tc>
      </w:tr>
      <w:tr>
        <w:trPr>
          <w:cantSplit/>
        </w:trPr>
        <w:tc>
          <w:tcPr>
            <w:tcW w:type="dxa" w:w="20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Regiunea B</w:t>
            </w:r>
          </w:p>
        </w:tc>
        <w:tc>
          <w:tcPr>
            <w:tcW w:type="dxa" w:w="1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1 500</w:t>
            </w:r>
          </w:p>
        </w:tc>
        <w:tc>
          <w:tcPr>
            <w:tcW w:type="dxa" w:w="13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1 455</w:t>
            </w:r>
          </w:p>
        </w:tc>
        <w:tc>
          <w:tcPr>
            <w:tcW w:type="dxa" w:w="1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1 110</w:t>
            </w:r>
          </w:p>
        </w:tc>
        <w:tc>
          <w:tcPr>
            <w:tcW w:type="dxa" w:w="16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97,0</w:t>
            </w:r>
          </w:p>
        </w:tc>
        <w:tc>
          <w:tcPr>
            <w:tcW w:type="dxa" w:w="16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74,0</w:t>
            </w:r>
          </w:p>
        </w:tc>
      </w:tr>
      <w:tr>
        <w:trPr>
          <w:cantSplit/>
        </w:trPr>
        <w:tc>
          <w:tcPr>
            <w:tcW w:type="dxa" w:w="20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Regiunea C</w:t>
            </w:r>
          </w:p>
        </w:tc>
        <w:tc>
          <w:tcPr>
            <w:tcW w:type="dxa" w:w="1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1 000</w:t>
            </w:r>
          </w:p>
        </w:tc>
        <w:tc>
          <w:tcPr>
            <w:tcW w:type="dxa" w:w="13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1 030</w:t>
            </w:r>
          </w:p>
        </w:tc>
        <w:tc>
          <w:tcPr>
            <w:tcW w:type="dxa" w:w="1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820</w:t>
            </w:r>
          </w:p>
        </w:tc>
        <w:tc>
          <w:tcPr>
            <w:tcW w:type="dxa" w:w="16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103,0</w:t>
            </w:r>
          </w:p>
        </w:tc>
        <w:tc>
          <w:tcPr>
            <w:tcW w:type="dxa" w:w="16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82,0</w:t>
            </w:r>
          </w:p>
        </w:tc>
      </w:tr>
      <w:tr>
        <w:trPr>
          <w:cantSplit/>
        </w:trPr>
        <w:tc>
          <w:tcPr>
            <w:tcW w:type="dxa" w:w="20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Regiunea D</w:t>
            </w:r>
          </w:p>
        </w:tc>
        <w:tc>
          <w:tcPr>
            <w:tcW w:type="dxa" w:w="1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900</w:t>
            </w:r>
          </w:p>
        </w:tc>
        <w:tc>
          <w:tcPr>
            <w:tcW w:type="dxa" w:w="13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765</w:t>
            </w:r>
          </w:p>
        </w:tc>
        <w:tc>
          <w:tcPr>
            <w:tcW w:type="dxa" w:w="1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522</w:t>
            </w:r>
          </w:p>
        </w:tc>
        <w:tc>
          <w:tcPr>
            <w:tcW w:type="dxa" w:w="16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85,0</w:t>
            </w:r>
          </w:p>
        </w:tc>
        <w:tc>
          <w:tcPr>
            <w:tcW w:type="dxa" w:w="16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58,0</w:t>
            </w:r>
          </w:p>
        </w:tc>
      </w:tr>
      <w:tr>
        <w:trPr>
          <w:cantSplit/>
        </w:trPr>
        <w:tc>
          <w:tcPr>
            <w:tcW w:type="dxa" w:w="20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bCs/>
                <w:sz w:val="18"/>
                <w:szCs w:val="18"/>
              </w:rPr>
              <w:t xml:space="preserve">Total regiuni A–D</w:t>
            </w:r>
          </w:p>
        </w:tc>
        <w:tc>
          <w:tcPr>
            <w:tcW w:type="dxa" w:w="1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18"/>
                <w:szCs w:val="18"/>
              </w:rPr>
              <w:t xml:space="preserve">4 600</w:t>
            </w:r>
          </w:p>
        </w:tc>
        <w:tc>
          <w:tcPr>
            <w:tcW w:type="dxa" w:w="13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18"/>
                <w:szCs w:val="18"/>
              </w:rPr>
              <w:t xml:space="preserve">4 354</w:t>
            </w:r>
          </w:p>
        </w:tc>
        <w:tc>
          <w:tcPr>
            <w:tcW w:type="dxa" w:w="1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18"/>
                <w:szCs w:val="18"/>
              </w:rPr>
              <w:t xml:space="preserve">3 232</w:t>
            </w:r>
          </w:p>
        </w:tc>
        <w:tc>
          <w:tcPr>
            <w:tcW w:type="dxa" w:w="16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18"/>
                <w:szCs w:val="18"/>
              </w:rPr>
              <w:t xml:space="preserve">94,7</w:t>
            </w:r>
          </w:p>
        </w:tc>
        <w:tc>
          <w:tcPr>
            <w:tcW w:type="dxa" w:w="16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18"/>
                <w:szCs w:val="18"/>
              </w:rPr>
              <w:t xml:space="preserve">70,3</w:t>
            </w:r>
          </w:p>
        </w:tc>
      </w:tr>
    </w:tbl>
    <w:p>
      <w:pPr>
        <w:spacing w:after="200" w:before="40" w:line="240"/>
        <w:ind w:firstLine="0"/>
        <w:jc w:val="left"/>
      </w:pPr>
      <w:r>
        <w:rPr>
          <w:i/>
          <w:iCs/>
          <w:color w:val="7A8191"/>
          <w:sz w:val="18"/>
          <w:szCs w:val="18"/>
        </w:rPr>
        <w:t xml:space="preserve">Sursa: Date simulate, construite pentru exemplu (regiuni generice). În lucrarea ta: rapoartele ministerului de resort, MySMIS, platforma Cohesion Open Data a Comisiei.</w:t>
      </w:r>
    </w:p>
    <w:p>
      <w:pPr>
        <w:keepNext/>
        <w:spacing w:after="60" w:before="160" w:line="240"/>
        <w:ind w:firstLine="0"/>
        <w:jc w:val="center"/>
      </w:pPr>
      <w:r>
        <w:drawing>
          <wp:inline distT="0" distB="0" distL="0" distR="0">
            <wp:extent cx="5762625" cy="2743200"/>
            <wp:effectExtent t="0" r="0" b="0" l="0"/>
            <wp:docPr id="4" name="Figura 4" descr="Rata de absorbție, pe regiuni, la 31.12.2023 (%)" title="Rata de absorbție, pe regiuni, la 31.12.202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Rata de absorbție, pe regiuni, la 31.12.2023 (%)</w:t>
      </w:r>
    </w:p>
    <w:p>
      <w:pPr>
        <w:spacing w:after="200" w:line="240"/>
        <w:ind w:firstLine="0"/>
        <w:jc w:val="center"/>
      </w:pPr>
      <w:r>
        <w:rPr>
          <w:i/>
          <w:iCs/>
          <w:color w:val="7A8191"/>
          <w:sz w:val="18"/>
          <w:szCs w:val="18"/>
        </w:rPr>
        <w:t xml:space="preserve">Sursa: Prelucrare proprie.</w:t>
      </w:r>
    </w:p>
    <w:p>
      <w:pPr>
        <w:pStyle w:val="Heading2"/>
        <w:keepNext/>
      </w:pPr>
      <w:r>
        <w:t xml:space="preserve">2.3. Programele din Regiunea A</w:t>
      </w:r>
    </w:p>
    <w:p>
      <w:r>
        <w:t xml:space="preserve">În Regiunea A, din alocarea de 1 200 mil. euro au rămas de absorbit 420 mil. euro. Programul de transport are cea mai mică rată (55,0%), iar programul regional are cea mai mare (70,0%) și cel mai mare rest de absorbit în valoare absolută: 156 mil. euro (Tabelul 4, Figura 5).</w:t>
      </w:r>
    </w:p>
    <w:p>
      <w:pPr>
        <w:keepNext/>
        <w:spacing w:after="80" w:before="200" w:line="260"/>
        <w:ind w:firstLine="0"/>
        <w:jc w:val="left"/>
      </w:pPr>
      <w:r>
        <w:rPr>
          <w:b/>
          <w:bCs/>
          <w:sz w:val="22"/>
          <w:szCs w:val="22"/>
        </w:rPr>
        <w:t xml:space="preserve">Tabelul 4.</w:t>
      </w:r>
      <w:r>
        <w:rPr>
          <w:sz w:val="22"/>
          <w:szCs w:val="22"/>
        </w:rPr>
        <w:t xml:space="preserve"> Absorbția în Regiunea A, pe programe (mil. euro)</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974"/>
        <w:gridCol w:w="1338"/>
        <w:gridCol w:w="1338"/>
        <w:gridCol w:w="1635"/>
        <w:gridCol w:w="1784"/>
      </w:tblGrid>
      <w:tr>
        <w:trPr>
          <w:tblHeader/>
        </w:trPr>
        <w:tc>
          <w:tcPr>
            <w:tcW w:type="dxa" w:w="297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Programul</w:t>
            </w:r>
          </w:p>
        </w:tc>
        <w:tc>
          <w:tcPr>
            <w:tcW w:type="dxa" w:w="13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Alocare</w:t>
            </w:r>
          </w:p>
        </w:tc>
        <w:tc>
          <w:tcPr>
            <w:tcW w:type="dxa" w:w="13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Plăți</w:t>
            </w:r>
          </w:p>
        </w:tc>
        <w:tc>
          <w:tcPr>
            <w:tcW w:type="dxa" w:w="16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Rest de absorbit</w:t>
            </w:r>
          </w:p>
        </w:tc>
        <w:tc>
          <w:tcPr>
            <w:tcW w:type="dxa" w:w="17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Rata de absorbție (%)</w:t>
            </w:r>
          </w:p>
        </w:tc>
      </w:tr>
      <w:tr>
        <w:trPr>
          <w:cantSplit/>
        </w:trPr>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Program regional</w:t>
            </w:r>
          </w:p>
        </w:tc>
        <w:tc>
          <w:tcPr>
            <w:tcW w:type="dxa" w:w="13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520</w:t>
            </w:r>
          </w:p>
        </w:tc>
        <w:tc>
          <w:tcPr>
            <w:tcW w:type="dxa" w:w="13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364</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156</w:t>
            </w:r>
          </w:p>
        </w:tc>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70,0</w:t>
            </w:r>
          </w:p>
        </w:tc>
      </w:tr>
      <w:tr>
        <w:trPr>
          <w:cantSplit/>
        </w:trPr>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Program transport</w:t>
            </w:r>
          </w:p>
        </w:tc>
        <w:tc>
          <w:tcPr>
            <w:tcW w:type="dxa" w:w="13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300</w:t>
            </w:r>
          </w:p>
        </w:tc>
        <w:tc>
          <w:tcPr>
            <w:tcW w:type="dxa" w:w="13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165</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135</w:t>
            </w:r>
          </w:p>
        </w:tc>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55,0</w:t>
            </w:r>
          </w:p>
        </w:tc>
      </w:tr>
      <w:tr>
        <w:trPr>
          <w:cantSplit/>
        </w:trPr>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Program competitivitate</w:t>
            </w:r>
          </w:p>
        </w:tc>
        <w:tc>
          <w:tcPr>
            <w:tcW w:type="dxa" w:w="13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220</w:t>
            </w:r>
          </w:p>
        </w:tc>
        <w:tc>
          <w:tcPr>
            <w:tcW w:type="dxa" w:w="13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143</w:t>
            </w:r>
          </w:p>
        </w:tc>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77</w:t>
            </w:r>
          </w:p>
        </w:tc>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65,0</w:t>
            </w:r>
          </w:p>
        </w:tc>
      </w:tr>
      <w:tr>
        <w:trPr>
          <w:cantSplit/>
        </w:trPr>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Program capital uman</w:t>
            </w:r>
          </w:p>
        </w:tc>
        <w:tc>
          <w:tcPr>
            <w:tcW w:type="dxa" w:w="13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160</w:t>
            </w:r>
          </w:p>
        </w:tc>
        <w:tc>
          <w:tcPr>
            <w:tcW w:type="dxa" w:w="13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67,5</w:t>
            </w:r>
          </w:p>
        </w:tc>
      </w:tr>
    </w:tbl>
    <w:p>
      <w:pPr>
        <w:spacing w:after="200" w:before="40" w:line="240"/>
        <w:ind w:firstLine="0"/>
        <w:jc w:val="left"/>
      </w:pPr>
      <w:r>
        <w:rPr>
          <w:i/>
          <w:iCs/>
          <w:color w:val="7A8191"/>
          <w:sz w:val="18"/>
          <w:szCs w:val="18"/>
        </w:rPr>
        <w:t xml:space="preserve">Sursa: Date simulate, construite pentru exemplu (programe generice). Total Regiunea A: alocare 1 200, plăți 780, rest 420 mil. euro (65,0%).</w:t>
      </w:r>
    </w:p>
    <w:p>
      <w:pPr>
        <w:keepNext/>
        <w:spacing w:after="60" w:before="160" w:line="240"/>
        <w:ind w:firstLine="0"/>
        <w:jc w:val="center"/>
      </w:pPr>
      <w:r>
        <w:drawing>
          <wp:inline distT="0" distB="0" distL="0" distR="0">
            <wp:extent cx="5486400" cy="2743200"/>
            <wp:effectExtent t="0" r="0" b="0" l="0"/>
            <wp:docPr id="5" name="Figura 5" descr="Plăți și rest de absorbit în Regiunea A, pe programe (mil. euro)" title="Plăți și rest de absorbit în Regiunea A, pe programe (mil. e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Plăți și rest de absorbit în Regiunea A, pe programe (mil. euro)</w:t>
      </w:r>
    </w:p>
    <w:p>
      <w:pPr>
        <w:spacing w:after="200" w:line="240"/>
        <w:ind w:firstLine="0"/>
        <w:jc w:val="center"/>
      </w:pPr>
      <w:r>
        <w:rPr>
          <w:i/>
          <w:iCs/>
          <w:color w:val="7A8191"/>
          <w:sz w:val="18"/>
          <w:szCs w:val="18"/>
        </w:rPr>
        <w:t xml:space="preserve">Sursa: Prelucrare proprie.</w:t>
      </w:r>
    </w:p>
    <w:p>
      <w:r>
        <w:t xml:space="preserve">Decalajul față de celelalte regiuni a apărut încă din primii ani și nu a fost recuperat până la final (Tabelul 5, Figura 6). Diferența a crescut de la 0,9 puncte procentuale în 2016 la 5,3 puncte procentuale în 2023.</w:t>
      </w:r>
    </w:p>
    <w:p>
      <w:pPr>
        <w:keepNext/>
        <w:spacing w:after="80" w:before="200" w:line="260"/>
        <w:ind w:firstLine="0"/>
        <w:jc w:val="left"/>
      </w:pPr>
      <w:r>
        <w:rPr>
          <w:b/>
          <w:bCs/>
          <w:sz w:val="22"/>
          <w:szCs w:val="22"/>
        </w:rPr>
        <w:t xml:space="preserve">Tabelul 5.</w:t>
      </w:r>
      <w:r>
        <w:rPr>
          <w:sz w:val="22"/>
          <w:szCs w:val="22"/>
        </w:rPr>
        <w:t xml:space="preserve"> Rata de absorbție cumulată, Regiunea A și totalul regiunilor A–D, 2016–2023 (%)</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Anul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Regiunea 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 regiuni A–D</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2016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2017</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8,5</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10,2</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2018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2019</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29,4</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43,1</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2021</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47,9</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53,0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57,6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62,8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65,0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70,3</w:t>
            </w:r>
          </w:p>
        </w:tc>
      </w:tr>
    </w:tbl>
    <w:p>
      <w:pPr>
        <w:spacing w:after="200" w:before="40" w:line="240"/>
        <w:ind w:firstLine="0"/>
        <w:jc w:val="left"/>
      </w:pPr>
      <w:r>
        <w:rPr>
          <w:i/>
          <w:iCs/>
          <w:color w:val="7A8191"/>
          <w:sz w:val="18"/>
          <w:szCs w:val="18"/>
        </w:rPr>
        <w:t xml:space="preserve">Sursa: Date simulate, construite pentru exemplu.</w:t>
      </w:r>
    </w:p>
    <w:p>
      <w:pPr>
        <w:keepNext/>
        <w:spacing w:after="60" w:before="160" w:line="240"/>
        <w:ind w:firstLine="0"/>
        <w:jc w:val="center"/>
      </w:pPr>
      <w:r>
        <w:drawing>
          <wp:inline distT="0" distB="0" distL="0" distR="0">
            <wp:extent cx="5486400" cy="2647950"/>
            <wp:effectExtent t="0" r="0" b="0" l="0"/>
            <wp:docPr id="6" name="Figura 6" descr="Evoluția ratei de absorbție cumulate, 2016–2023 (%)" title="Evoluția ratei de absorbție cumulate, 2016–202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Evoluția ratei de absorbție cumulate, 2016–2023 (%)</w:t>
      </w:r>
    </w:p>
    <w:p>
      <w:pPr>
        <w:spacing w:after="200" w:line="240"/>
        <w:ind w:firstLine="0"/>
        <w:jc w:val="center"/>
      </w:pPr>
      <w:r>
        <w:rPr>
          <w:i/>
          <w:iCs/>
          <w:color w:val="7A8191"/>
          <w:sz w:val="18"/>
          <w:szCs w:val="18"/>
        </w:rPr>
        <w:t xml:space="preserve">Sursa: Prelucrare proprie.</w:t>
      </w:r>
    </w:p>
    <w:p>
      <w:pPr>
        <w:pStyle w:val="Heading2"/>
        <w:keepNext/>
      </w:pPr>
      <w:r>
        <w:t xml:space="preserve">2.4. Proiectele din Regiunea A</w:t>
      </w:r>
    </w:p>
    <w:p>
      <w:r>
        <w:t xml:space="preserve">Întârzierea la implementare diferă în funcție de tipul beneficiarului, F(2, 157) = 7,77, p &lt; 0,001, η² = 0,09 (Tabelul 6, Figura 7). Autoritățile publice locale au cea mai mare întârziere medie (8,03 luni), iar întreprinderile cea mai mică (5,17 luni).</w:t>
      </w:r>
    </w:p>
    <w:p>
      <w:pPr>
        <w:keepNext/>
        <w:spacing w:after="80" w:before="200" w:line="260"/>
        <w:ind w:firstLine="0"/>
        <w:jc w:val="left"/>
      </w:pPr>
      <w:r>
        <w:rPr>
          <w:b/>
          <w:bCs/>
          <w:sz w:val="22"/>
          <w:szCs w:val="22"/>
        </w:rPr>
        <w:t xml:space="preserve">Tabelul 6.</w:t>
      </w:r>
      <w:r>
        <w:rPr>
          <w:sz w:val="22"/>
          <w:szCs w:val="22"/>
        </w:rPr>
        <w:t xml:space="preserve"> Întârzierea la implementare, în funcție de tipul beneficiarului (luni)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beneficiarului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Autoritate publică locală</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8,03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4,30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Întreprindere (IMM)</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5,17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3,82</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ONG și alte entități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4,23</w:t>
            </w:r>
          </w:p>
        </w:tc>
      </w:tr>
    </w:tbl>
    <w:p>
      <w:pPr>
        <w:keepNext/>
        <w:spacing w:after="0" w:before="60" w:line="240"/>
        <w:ind w:firstLine="0"/>
        <w:jc w:val="left"/>
      </w:pPr>
      <w:r>
        <w:rPr>
          <w:i/>
          <w:iCs/>
          <w:sz w:val="18"/>
          <w:szCs w:val="18"/>
        </w:rPr>
        <w:t xml:space="preserve">Notă.</w:t>
      </w:r>
      <w:r>
        <w:rPr>
          <w:sz w:val="18"/>
          <w:szCs w:val="18"/>
        </w:rPr>
        <w:t xml:space="preserve"> F(2, 157) = 7,77, p &lt; 0,001, η² = 0,09</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743200"/>
            <wp:effectExtent t="0" r="0" b="0" l="0"/>
            <wp:docPr id="7" name="Figura 7" descr="Distribuția întârzierilor la implementare, pe tipuri de beneficiari" title="Distribuția întârzierilor la implementare, pe tipuri de benefici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Distribuția întârzierilor la implementare, pe tipuri de beneficiari</w:t>
      </w:r>
    </w:p>
    <w:p>
      <w:pPr>
        <w:spacing w:after="200" w:line="240"/>
        <w:ind w:firstLine="0"/>
        <w:jc w:val="center"/>
      </w:pPr>
      <w:r>
        <w:rPr>
          <w:i/>
          <w:iCs/>
          <w:color w:val="7A8191"/>
          <w:sz w:val="18"/>
          <w:szCs w:val="18"/>
        </w:rPr>
        <w:t xml:space="preserve">Sursa: Prelucrare proprie.</w:t>
      </w:r>
    </w:p>
    <w:p>
      <w:r>
        <w:t xml:space="preserve">Ponderea proiectelor cu întârzieri de peste 3 luni este, de asemenea, asociată cu tipul beneficiarului, χ²(2, N = 160) = 6,66, p = 0,036, V Cramer = 0,20 (Tabelul 7).</w:t>
      </w:r>
    </w:p>
    <w:p>
      <w:pPr>
        <w:keepNext/>
        <w:spacing w:after="80" w:before="200" w:line="260"/>
        <w:ind w:firstLine="0"/>
        <w:jc w:val="left"/>
      </w:pPr>
      <w:r>
        <w:rPr>
          <w:b/>
          <w:bCs/>
          <w:sz w:val="22"/>
          <w:szCs w:val="22"/>
        </w:rPr>
        <w:t xml:space="preserve">Tabelul 7.</w:t>
      </w:r>
      <w:r>
        <w:rPr>
          <w:sz w:val="22"/>
          <w:szCs w:val="22"/>
        </w:rPr>
        <w:t xml:space="preserve"> Proiectele cu întârzieri de peste 3 luni, pe tipuri de beneficiari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beneficiarului / Stadiul față de termen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Întârziere de peste 3 luni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La termen sau sub 4 luni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Autoritate publică locală</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 (82,2%)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 (17,8%)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73</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Întreprindere (IMM)</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32 (61,5%)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 (38,5%)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ONG și alte entități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 (71,4%)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 (28,6%)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w:t>
            </w:r>
          </w:p>
        </w:tc>
      </w:tr>
    </w:tbl>
    <w:p>
      <w:pPr>
        <w:keepNext/>
        <w:spacing w:after="0" w:before="60" w:line="240"/>
        <w:ind w:firstLine="0"/>
        <w:jc w:val="left"/>
      </w:pPr>
      <w:r>
        <w:rPr>
          <w:i/>
          <w:iCs/>
          <w:sz w:val="18"/>
          <w:szCs w:val="18"/>
        </w:rPr>
        <w:t xml:space="preserve">Notă.</w:t>
      </w:r>
      <w:r>
        <w:rPr>
          <w:sz w:val="18"/>
          <w:szCs w:val="18"/>
        </w:rPr>
        <w:t xml:space="preserve"> χ²(2, N = 160) = 6,66, p = 0,036, V Cramer = 0,20</w:t>
      </w:r>
    </w:p>
    <w:p>
      <w:pPr>
        <w:spacing w:after="200" w:before="40" w:line="240"/>
        <w:ind w:firstLine="0"/>
        <w:jc w:val="left"/>
      </w:pPr>
      <w:commentRangeStart w:id="10"/>
      <w:r>
        <w:rPr>
          <w:i/>
          <w:iCs/>
          <w:color w:val="7A8191"/>
          <w:sz w:val="18"/>
          <w:szCs w:val="18"/>
        </w:rPr>
        <w:t xml:space="preserve">Sursa: Prelucrare proprie pe baza datelor simulate.</w:t>
      </w:r>
      <w:commentRangeEnd w:id="10"/>
      <w:r>
        <w:commentReference w:id="10"/>
      </w:r>
    </w:p>
    <w:p>
      <w:pPr>
        <w:pStyle w:val="Heading2"/>
        <w:keepNext/>
      </w:pPr>
      <w:r>
        <w:t xml:space="preserve">2.5. Evaluarea autorului și recomandări</w:t>
      </w:r>
    </w:p>
    <w:p>
      <w:r>
        <w:t xml:space="preserve">Rezultatele arată că problema Regiunii A nu este lipsa contractelor, ci ritmul lent al implementării, mai ales la proiectele de transport și la cele ale autorităților locale. Pornind de la aceste probleme, propunem patru recomandări, fiecare cu un responsabil și un indicator de urmărit (Tabelul 8).</w:t>
      </w:r>
    </w:p>
    <w:p>
      <w:pPr>
        <w:keepNext/>
        <w:spacing w:after="80" w:before="200" w:line="260"/>
        <w:ind w:firstLine="0"/>
        <w:jc w:val="left"/>
      </w:pPr>
      <w:r>
        <w:rPr>
          <w:b/>
          <w:bCs/>
          <w:sz w:val="22"/>
          <w:szCs w:val="22"/>
        </w:rPr>
        <w:t xml:space="preserve">Tabelul 8.</w:t>
      </w:r>
      <w:r>
        <w:rPr>
          <w:sz w:val="22"/>
          <w:szCs w:val="22"/>
        </w:rPr>
        <w:t xml:space="preserve"> Recomandările autorului pentru creșterea absorbției în Regiunea A</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72"/>
        <w:gridCol w:w="3209"/>
        <w:gridCol w:w="1674"/>
        <w:gridCol w:w="1814"/>
      </w:tblGrid>
      <w:tr>
        <w:trPr>
          <w:tblHeader/>
        </w:trPr>
        <w:tc>
          <w:tcPr>
            <w:tcW w:type="dxa" w:w="237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Problema identificată</w:t>
            </w:r>
          </w:p>
        </w:tc>
        <w:tc>
          <w:tcPr>
            <w:tcW w:type="dxa" w:w="3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Recomandarea</w:t>
            </w:r>
          </w:p>
        </w:tc>
        <w:tc>
          <w:tcPr>
            <w:tcW w:type="dxa" w:w="167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Cine o aplică</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w:t>
            </w:r>
          </w:p>
        </w:tc>
      </w:tr>
      <w:tr>
        <w:trPr>
          <w:cantSplit/>
        </w:trPr>
        <w:tc>
          <w:tcPr>
            <w:tcW w:type="dxa" w:w="23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Absorbție sub totalul regiunilor (65,0% față de 70,3%)</w:t>
            </w:r>
          </w:p>
        </w:tc>
        <w:tc>
          <w:tcPr>
            <w:tcW w:type="dxa" w:w="3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Monitorizare lunară a proiectelor cu risc de dezangajare, cu listă de rezervă</w:t>
            </w:r>
          </w:p>
        </w:tc>
        <w:tc>
          <w:tcPr>
            <w:tcW w:type="dxa" w:w="16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Autoritatea de management</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Rata de absorbție anuală</w:t>
            </w:r>
          </w:p>
        </w:tc>
      </w:tr>
      <w:tr>
        <w:trPr>
          <w:cantSplit/>
        </w:trPr>
        <w:tc>
          <w:tcPr>
            <w:tcW w:type="dxa" w:w="237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Programul de transport are cea mai mică rată (55,0%)</w:t>
            </w:r>
          </w:p>
        </w:tc>
        <w:tc>
          <w:tcPr>
            <w:tcW w:type="dxa" w:w="3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Proiecte pregătite înainte de lansarea apelurilor (studii, avize)</w:t>
            </w:r>
          </w:p>
        </w:tc>
        <w:tc>
          <w:tcPr>
            <w:tcW w:type="dxa" w:w="16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Autorități locale și centrale</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Proiecte mature în portofoliu</w:t>
            </w:r>
          </w:p>
        </w:tc>
      </w:tr>
      <w:tr>
        <w:trPr>
          <w:cantSplit/>
        </w:trPr>
        <w:tc>
          <w:tcPr>
            <w:tcW w:type="dxa" w:w="23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Autoritățile locale au cele mai mari întârzieri</w:t>
            </w:r>
          </w:p>
        </w:tc>
        <w:tc>
          <w:tcPr>
            <w:tcW w:type="dxa" w:w="3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Asistență tehnică pentru achizițiile publice ale comunelor mici</w:t>
            </w:r>
          </w:p>
        </w:tc>
        <w:tc>
          <w:tcPr>
            <w:tcW w:type="dxa" w:w="16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Agenția de dezvoltare regională</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Întârzierea medie (luni)</w:t>
            </w:r>
          </w:p>
        </w:tc>
      </w:tr>
      <w:tr>
        <w:trPr>
          <w:cantSplit/>
        </w:trPr>
        <w:tc>
          <w:tcPr>
            <w:tcW w:type="dxa" w:w="237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Contractare sub 100%, spre deosebire de Regiunea C</w:t>
            </w:r>
          </w:p>
        </w:tc>
        <w:tc>
          <w:tcPr>
            <w:tcW w:type="dxa" w:w="3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Supracontractare controlată, pentru a acoperi proiectele care cad</w:t>
            </w:r>
          </w:p>
        </w:tc>
        <w:tc>
          <w:tcPr>
            <w:tcW w:type="dxa" w:w="16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Autoritatea de management</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Rata de contractare</w:t>
            </w:r>
          </w:p>
        </w:tc>
      </w:tr>
    </w:tbl>
    <w:p>
      <w:pPr>
        <w:spacing w:after="200" w:before="40" w:line="240"/>
        <w:ind w:firstLine="0"/>
        <w:jc w:val="left"/>
      </w:pPr>
      <w:r>
        <w:rPr>
          <w:i/>
          <w:iCs/>
          <w:color w:val="7A8191"/>
          <w:sz w:val="18"/>
          <w:szCs w:val="18"/>
        </w:rPr>
        <w:t xml:space="preserve">Sursa: Propunere proprie a autorului, pe baza analizei din Capitolul 2.</w:t>
      </w:r>
    </w:p>
    <w:p>
      <w:pPr>
        <w:pStyle w:val="Heading1"/>
        <w:pageBreakBefore/>
      </w:pPr>
      <w:commentRangeStart w:id="11"/>
      <w:r>
        <w:t xml:space="preserve">Concluzii</w:t>
      </w:r>
      <w:commentRangeEnd w:id="11"/>
      <w:r>
        <w:commentReference w:id="11"/>
      </w:r>
    </w:p>
    <w:p>
      <w:pPr>
        <w:tabs>
          <w:tab w:val="left" w:pos="709"/>
        </w:tabs>
        <w:spacing w:after="60"/>
        <w:ind w:left="709" w:hanging="357" w:firstLine="0"/>
        <w:jc w:val="left"/>
      </w:pPr>
      <w:r>
        <w:t xml:space="preserve">•	</w:t>
      </w:r>
      <w:r>
        <w:t xml:space="preserve">Absorbția se măsoară prin plățile primite, nu prin contractele semnate; cadrul juridic stabilește termene stricte pentru cheltuieli (obiectivul 1).</w:t>
      </w:r>
    </w:p>
    <w:p>
      <w:pPr>
        <w:tabs>
          <w:tab w:val="left" w:pos="709"/>
        </w:tabs>
        <w:spacing w:after="60"/>
        <w:ind w:left="709" w:hanging="357" w:firstLine="0"/>
        <w:jc w:val="left"/>
      </w:pPr>
      <w:r>
        <w:t xml:space="preserve">•	</w:t>
      </w:r>
      <w:r>
        <w:t xml:space="preserve">Regiunea A a absorbit 65,0% din alocare, sub totalul regiunilor A–D (70,3%), cu un decalaj apărut din primii ani (obiectivul 2).</w:t>
      </w:r>
    </w:p>
    <w:p>
      <w:pPr>
        <w:tabs>
          <w:tab w:val="left" w:pos="709"/>
        </w:tabs>
        <w:spacing w:after="60"/>
        <w:ind w:left="709" w:hanging="357" w:firstLine="0"/>
        <w:jc w:val="left"/>
      </w:pPr>
      <w:r>
        <w:t xml:space="preserve">•	</w:t>
      </w:r>
      <w:r>
        <w:t xml:space="preserve">Programul de transport și proiectele autorităților publice locale explică cea mai mare parte a întârzierilor (obiectivul 3).</w:t>
      </w:r>
    </w:p>
    <w:p>
      <w:pPr>
        <w:tabs>
          <w:tab w:val="left" w:pos="709"/>
        </w:tabs>
        <w:spacing w:after="60"/>
        <w:ind w:left="709" w:hanging="357" w:firstLine="0"/>
        <w:jc w:val="left"/>
      </w:pPr>
      <w:r>
        <w:t xml:space="preserve">•	</w:t>
      </w:r>
      <w:r>
        <w:t xml:space="preserve">Recomandările vizează monitorizarea lunară, proiecte pregătite din timp și asistență tehnică pentru comunele mici (obiectivul 4).</w:t>
      </w:r>
    </w:p>
    <w:p>
      <w:r>
        <w:rPr>
          <w:b/>
          <w:bCs/>
        </w:rPr>
        <w:t xml:space="preserve">Limite:</w:t>
      </w:r>
      <w:r>
        <w:t xml:space="preserve"> datele din acest exemplu sunt simulate, iar indicatorii agregați nu arată calitatea proiectelor. O cercetare reală ar completa analiza cu interviuri și cu date pentru perioada 2021–2027.</w:t>
      </w:r>
    </w:p>
    <w:p>
      <w:pPr>
        <w:pStyle w:val="Heading1"/>
        <w:pageBreakBefore/>
      </w:pPr>
      <w:commentRangeStart w:id="12"/>
      <w:r>
        <w:t xml:space="preserve">Bibliografie</w:t>
      </w:r>
      <w:commentRangeEnd w:id="12"/>
      <w:r>
        <w:commentReference w:id="12"/>
      </w:r>
    </w:p>
    <w:p>
      <w:pPr>
        <w:spacing w:after="100" w:line="300"/>
        <w:ind w:left="709" w:hanging="709" w:firstLine="0"/>
        <w:jc w:val="left"/>
      </w:pPr>
      <w:r>
        <w:t xml:space="preserve">Dobrescu, L. (2020). </w:t>
      </w:r>
      <w:r>
        <w:rPr>
          <w:i/>
          <w:iCs/>
        </w:rPr>
        <w:t xml:space="preserve">Capacitatea de absorbție a fondurilor europene: concepte și indicatori</w:t>
      </w:r>
      <w:r>
        <w:t xml:space="preserve">. Editura Exemplu.</w:t>
      </w:r>
    </w:p>
    <w:p>
      <w:pPr>
        <w:spacing w:after="100" w:line="300"/>
        <w:ind w:left="709" w:hanging="709" w:firstLine="0"/>
        <w:jc w:val="left"/>
      </w:pPr>
      <w:r>
        <w:t xml:space="preserve">Pop, A., &amp; Rusu, M. (2022). Întârzierile în implementarea proiectelor finanțate din fonduri europene la nivel local. </w:t>
      </w:r>
      <w:r>
        <w:rPr>
          <w:i/>
          <w:iCs/>
        </w:rPr>
        <w:t xml:space="preserve">Revista de Studii Europene, 11</w:t>
      </w:r>
      <w:r>
        <w:t xml:space="preserve">(2), 45–61.</w:t>
      </w:r>
    </w:p>
    <w:p>
      <w:pPr>
        <w:spacing w:after="100" w:line="300"/>
        <w:ind w:left="709" w:hanging="709" w:firstLine="0"/>
        <w:jc w:val="left"/>
      </w:pPr>
      <w:r>
        <w:t xml:space="preserve">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 </w:t>
      </w:r>
      <w:r>
        <w:rPr>
          <w:i/>
          <w:iCs/>
        </w:rPr>
        <w:t xml:space="preserve">Jurnalul Oficial al Uniunii Europene</w:t>
      </w:r>
      <w:r>
        <w:t xml:space="preserve">, L 347, 20.12.2013, p. 320–469.</w:t>
      </w:r>
    </w:p>
    <w:p>
      <w:pPr>
        <w:spacing w:after="100" w:line="300"/>
        <w:ind w:left="709" w:hanging="709" w:firstLine="0"/>
        <w:jc w:val="left"/>
      </w:pPr>
      <w:r>
        <w:t xml:space="preserve">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 </w:t>
      </w:r>
      <w:r>
        <w:rPr>
          <w:i/>
          <w:iCs/>
        </w:rPr>
        <w:t xml:space="preserve">Jurnalul Oficial al Uniunii Europene</w:t>
      </w:r>
      <w:r>
        <w:t xml:space="preserve">, L 231, 30.6.2021, p. 159–706.</w:t>
      </w:r>
    </w:p>
    <w:p>
      <w:pPr>
        <w:spacing w:after="100" w:line="300"/>
        <w:ind w:left="709" w:hanging="709" w:firstLine="0"/>
        <w:jc w:val="left"/>
      </w:pPr>
      <w:r>
        <w:t xml:space="preserve">Stoian, C. (2023). Guvernanța pe mai multe niveluri și politica de coeziune în statele membre noi. </w:t>
      </w:r>
      <w:r>
        <w:rPr>
          <w:i/>
          <w:iCs/>
        </w:rPr>
        <w:t xml:space="preserve">Studia Europaea Exemplu, 5</w:t>
      </w:r>
      <w:r>
        <w:t xml:space="preserve">(1), 12–30.</w:t>
      </w:r>
    </w:p>
    <w:p>
      <w:pPr>
        <w:pStyle w:val="Heading1"/>
        <w:pageBreakBefore/>
      </w:pPr>
      <w:commentRangeStart w:id="13"/>
      <w:r>
        <w:t xml:space="preserve">Anexa 1. Fișa de analiză a unui proiect</w:t>
      </w:r>
      <w:commentRangeEnd w:id="13"/>
      <w:r>
        <w:commentReference w:id="13"/>
      </w:r>
    </w:p>
    <w:p>
      <w:pPr>
        <w:tabs>
          <w:tab w:val="left" w:pos="709"/>
        </w:tabs>
        <w:spacing w:after="60"/>
        <w:ind w:left="709" w:hanging="357" w:firstLine="0"/>
        <w:jc w:val="left"/>
      </w:pPr>
      <w:r>
        <w:t xml:space="preserve">1.	</w:t>
      </w:r>
      <w:r>
        <w:t xml:space="preserve">Codul proiectului (SMIS) și programul de finanțare.</w:t>
      </w:r>
    </w:p>
    <w:p>
      <w:pPr>
        <w:tabs>
          <w:tab w:val="left" w:pos="709"/>
        </w:tabs>
        <w:spacing w:after="60"/>
        <w:ind w:left="709" w:hanging="357" w:firstLine="0"/>
        <w:jc w:val="left"/>
      </w:pPr>
      <w:r>
        <w:t xml:space="preserve">2.	</w:t>
      </w:r>
      <w:r>
        <w:t xml:space="preserve">Tipul beneficiarului și localizarea (urban/rural).</w:t>
      </w:r>
    </w:p>
    <w:p>
      <w:pPr>
        <w:tabs>
          <w:tab w:val="left" w:pos="709"/>
        </w:tabs>
        <w:spacing w:after="60"/>
        <w:ind w:left="709" w:hanging="357" w:firstLine="0"/>
        <w:jc w:val="left"/>
      </w:pPr>
      <w:r>
        <w:t xml:space="preserve">3.	</w:t>
      </w:r>
      <w:r>
        <w:t xml:space="preserve">Valoarea totală și valoarea eligibilă.</w:t>
      </w:r>
    </w:p>
    <w:p>
      <w:pPr>
        <w:tabs>
          <w:tab w:val="left" w:pos="709"/>
        </w:tabs>
        <w:spacing w:after="60"/>
        <w:ind w:left="709" w:hanging="357" w:firstLine="0"/>
        <w:jc w:val="left"/>
      </w:pPr>
      <w:r>
        <w:t xml:space="preserve">4.	</w:t>
      </w:r>
      <w:r>
        <w:t xml:space="preserve">Data de început și de finalizare prevăzute în contract.</w:t>
      </w:r>
    </w:p>
    <w:p>
      <w:pPr>
        <w:tabs>
          <w:tab w:val="left" w:pos="709"/>
        </w:tabs>
        <w:spacing w:after="60"/>
        <w:ind w:left="709" w:hanging="357" w:firstLine="0"/>
        <w:jc w:val="left"/>
      </w:pPr>
      <w:r>
        <w:t xml:space="preserve">5.	</w:t>
      </w:r>
      <w:r>
        <w:t xml:space="preserve">Data reală de finalizare sau stadiul la data analizei.</w:t>
      </w:r>
    </w:p>
    <w:p>
      <w:pPr>
        <w:tabs>
          <w:tab w:val="left" w:pos="709"/>
        </w:tabs>
        <w:spacing w:after="60"/>
        <w:ind w:left="709" w:hanging="357" w:firstLine="0"/>
        <w:jc w:val="left"/>
      </w:pPr>
      <w:r>
        <w:t xml:space="preserve">6.	</w:t>
      </w:r>
      <w:r>
        <w:t xml:space="preserve">Cauza principală a întârzierii, dacă există (achiziții, avize, cofinanțare, alte cauze).</w:t>
      </w:r>
    </w:p>
    <w:p>
      <w:pPr>
        <w:pStyle w:val="Heading1"/>
        <w:pageBreakBefore/>
      </w:pPr>
      <w:commentRangeStart w:id="14"/>
      <w:r>
        <w:t xml:space="preserve">Bonus: același paragraf, înainte și după corectare</w:t>
      </w:r>
      <w:commentRangeEnd w:id="14"/>
      <w:r>
        <w:commentReference w:id="14"/>
      </w:r>
    </w:p>
    <w:p>
      <w:r>
        <w:t xml:space="preserve">Fragmentul de mai jos este scris intenționat cu greșelile pe care le întâlnim des în lucrările de Studii Europene.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Romania este codasa la absorbtia fondurilor europene din cauza coruptiei si a birocratiei, lucru stiut de toata lumea. UE ne da miliarde de euro dar noi nu suntem in stare sa le cheltuim, iar regiunea A este cea mai slaba dintre toate.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Regiunea A a absorbit 65,0% din alocarea pentru perioada 2014–2020, sub totalul celor patru regiuni analizate (70,3%) (Tabelul 3). Analiza proiectelor arată că decalajul se explică în principal prin întârzierile la implementare ale autorităților publice locale și prin rata scăzută a programului de transport (Tabelul 4), factori asociați în literatură cu capacitatea administrativă (Dobrescu, 2020).</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„Codașă” și „știut de toată lumea” au fost înlocuite cu indicatori și trimiteri la tabele.</w:t>
      </w:r>
    </w:p>
    <w:p>
      <w:pPr>
        <w:tabs>
          <w:tab w:val="left" w:pos="709"/>
        </w:tabs>
        <w:spacing w:after="60"/>
        <w:ind w:left="709" w:hanging="357" w:firstLine="0"/>
        <w:jc w:val="left"/>
      </w:pPr>
      <w:r>
        <w:t xml:space="preserve">3.	</w:t>
      </w:r>
      <w:r>
        <w:t xml:space="preserve">Cauzele („corupție și birocrație”) nu mai sunt afirmate fără dovezi: rămân doar cele susținute de analiză și de literatură.</w:t>
      </w:r>
    </w:p>
    <w:p>
      <w:pPr>
        <w:tabs>
          <w:tab w:val="left" w:pos="709"/>
        </w:tabs>
        <w:spacing w:after="60"/>
        <w:ind w:left="709" w:hanging="357" w:firstLine="0"/>
        <w:jc w:val="left"/>
      </w:pPr>
      <w:r>
        <w:t xml:space="preserve">4.	</w:t>
      </w:r>
      <w:r>
        <w:t xml:space="preserve">„Cea mai slabă dintre toate” era fals: Regiunea D are rezultate mai slabe. Comparația se face cu un reper precizat.</w:t>
      </w:r>
    </w:p>
    <w:p>
      <w:pPr>
        <w:tabs>
          <w:tab w:val="left" w:pos="709"/>
        </w:tabs>
        <w:spacing w:after="60"/>
        <w:ind w:left="709" w:hanging="357" w:firstLine="0"/>
        <w:jc w:val="left"/>
      </w:pPr>
      <w:r>
        <w:t xml:space="preserve">5.	</w:t>
      </w:r>
      <w:r>
        <w:t xml:space="preserve">Persoana I plural colocvială („noi nu suntem în stare”) a devenit o formulare academică, neutră.</w:t>
      </w:r>
    </w:p>
    <w:p>
      <w:pPr>
        <w:spacing w:before="360"/>
        <w:ind w:firstLine="0"/>
        <w:jc w:val="left"/>
      </w:pPr>
      <w:r>
        <w:rPr>
          <w:b/>
          <w:bCs/>
        </w:rPr>
        <w:t xml:space="preserve">Vrei aceeași corectare pentru lucrarea ta? </w:t>
      </w:r>
      <w:hyperlink w:history="1" r:id="rIdz295yb6ogwlok3ngt7hge">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xom2nazzlaqmyi8l9ykp">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fogme1dgk4d8pnmlv-62d">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arată de ce tema contează în contextul european actual, formulează întrebarea de cercetare și spune ce date și metode ai folosit.</w:t>
      </w:r>
    </w:p>
    <w:p>
      <w:r>
        <w:rPr>
          <w:rFonts w:ascii="Arial" w:cs="Arial" w:eastAsia="Arial" w:hAnsi="Arial"/>
          <w:b/>
          <w:bCs/>
          <w:sz w:val="16"/>
          <w:szCs w:val="16"/>
        </w:rPr>
        <w:t xml:space="preserve">Ghid: </w:t>
      </w:r>
      <w:hyperlink w:history="1" r:id="rIdgcabiyi4uuz--bfpuikjm">
        <w:r>
          <w:rPr>
            <w:rFonts w:ascii="Arial" w:cs="Arial" w:eastAsia="Arial" w:hAnsi="Arial"/>
            <w:color w:val="4B7A5E"/>
            <w:sz w:val="16"/>
            <w:szCs w:val="16"/>
            <w:u w:val="single"/>
          </w:rPr>
          <w:t xml:space="preserve">licenta-disertatie-romania.com/blog/introducere-lucrare-licenta/</w:t>
        </w:r>
      </w:hyperlink>
    </w:p>
  </w:comment>
  <w:comment w:id="5" w:initials="LR" w:author="Greșeală frecventă" w:date="2026-05-20T10:00:00.000Z">
    <w:p>
      <w:r>
        <w:rPr>
          <w:sz w:val="18"/>
          <w:szCs w:val="18"/>
        </w:rPr>
        <w:t xml:space="preserve">Toate cifrele din acest exemplu sunt </w:t>
      </w:r>
      <w:r>
        <w:rPr>
          <w:b/>
          <w:bCs/>
          <w:sz w:val="18"/>
          <w:szCs w:val="18"/>
        </w:rPr>
        <w:t xml:space="preserve">simulate</w:t>
      </w:r>
      <w:r>
        <w:rPr>
          <w:sz w:val="18"/>
          <w:szCs w:val="18"/>
        </w:rPr>
        <w:t xml:space="preserve">, iar regiunile sunt generice. În lucrarea ta folosești date oficiale și menționezi exact sursa și data la care au fost extrase, pentru că valorile se actualizează lunar.</w:t>
      </w:r>
    </w:p>
  </w:comment>
  <w:comment w:id="6" w:initials="LR" w:author="Rolul secțiunii" w:date="2026-05-20T10:00:00.000Z">
    <w:p>
      <w:r>
        <w:rPr>
          <w:sz w:val="18"/>
          <w:szCs w:val="18"/>
        </w:rPr>
        <w:t xml:space="preserve">Capitolul teoretic și instituțional prezintă cadrul juridic și conceptele pe care le măsori. Legislația UE se citează cu numărul oficial și cu trimiterea la Jurnalul Oficial.</w:t>
      </w:r>
    </w:p>
    <w:p>
      <w:r>
        <w:rPr>
          <w:rFonts w:ascii="Arial" w:cs="Arial" w:eastAsia="Arial" w:hAnsi="Arial"/>
          <w:b/>
          <w:bCs/>
          <w:sz w:val="16"/>
          <w:szCs w:val="16"/>
        </w:rPr>
        <w:t xml:space="preserve">Ghid: </w:t>
      </w:r>
      <w:hyperlink w:history="1" r:id="rIdk5lzh8glt60rilizlkcyq">
        <w:r>
          <w:rPr>
            <w:rFonts w:ascii="Arial" w:cs="Arial" w:eastAsia="Arial" w:hAnsi="Arial"/>
            <w:color w:val="4B7A5E"/>
            <w:sz w:val="16"/>
            <w:szCs w:val="16"/>
            <w:u w:val="single"/>
          </w:rPr>
          <w:t xml:space="preserve">licenta-disertatie-romania.com/blog/structura-lucrare-licenta/</w:t>
        </w:r>
      </w:hyperlink>
    </w:p>
  </w:comment>
  <w:comment w:id="7" w:initials="LR" w:author="Sfat" w:date="2026-05-20T10:00:00.000Z">
    <w:p>
      <w:r>
        <w:rPr>
          <w:sz w:val="18"/>
          <w:szCs w:val="18"/>
        </w:rPr>
        <w:t xml:space="preserve">La prima citare a unui regulament dai denumirea completă și referința din Jurnalul Oficial (seria L, numărul, data, paginile), apoi folosești forma scurtă. Textul oficial în limba română îl găsești pe EUR-Lex.</w:t>
      </w:r>
    </w:p>
    <w:p>
      <w:r>
        <w:rPr>
          <w:rFonts w:ascii="Arial" w:cs="Arial" w:eastAsia="Arial" w:hAnsi="Arial"/>
          <w:b/>
          <w:bCs/>
          <w:sz w:val="16"/>
          <w:szCs w:val="16"/>
        </w:rPr>
        <w:t xml:space="preserve">Ghid: </w:t>
      </w:r>
      <w:hyperlink w:history="1" r:id="rIdtqudclutbk70u8k8kguue">
        <w:r>
          <w:rPr>
            <w:rFonts w:ascii="Arial" w:cs="Arial" w:eastAsia="Arial" w:hAnsi="Arial"/>
            <w:color w:val="4B7A5E"/>
            <w:sz w:val="16"/>
            <w:szCs w:val="16"/>
            <w:u w:val="single"/>
          </w:rPr>
          <w:t xml:space="preserve">licenta-disertatie-romania.com/resurse/generator-citare-apa/</w:t>
        </w:r>
      </w:hyperlink>
    </w:p>
  </w:comment>
  <w:comment w:id="8" w:initials="LR" w:author="Greșeală frecventă" w:date="2026-05-20T10:00:00.000Z">
    <w:p>
      <w:r>
        <w:rPr>
          <w:sz w:val="18"/>
          <w:szCs w:val="18"/>
        </w:rPr>
        <w:t xml:space="preserve">Nu confunda rata de contractare cu rata de absorbție. O regiune poate avea contracte semnate pentru toată alocarea și totuși să piardă bani, dacă proiectele nu sunt implementate la timp.</w:t>
      </w:r>
    </w:p>
  </w:comment>
  <w:comment w:id="9" w:initials="LR" w:author="Rolul secțiunii" w:date="2026-05-20T10:00:00.000Z">
    <w:p>
      <w:r>
        <w:rPr>
          <w:sz w:val="18"/>
          <w:szCs w:val="18"/>
        </w:rPr>
        <w:t xml:space="preserve">Aceasta este partea ta: compari indicatorii, explici diferențele și închei cu propriile recomandări. Un șir de tabele copiate din rapoarte oficiale, fără interpretare, nu este o analiză.</w:t>
      </w:r>
    </w:p>
  </w:comment>
  <w:comment w:id="10" w:initials="LR" w:author="Sfat" w:date="2026-05-20T10:00:00.000Z">
    <w:p>
      <w:r>
        <w:rPr>
          <w:sz w:val="18"/>
          <w:szCs w:val="18"/>
        </w:rPr>
        <w:t xml:space="preserve">Rezultatele cantitative se explică mai bine dacă adaugi câteva interviuri cu beneficiari sau cu funcționari din agenția de dezvoltare regională. Ei îți pot spune de ce întârzie proiectele, nu doar cât.</w:t>
      </w:r>
    </w:p>
    <w:p>
      <w:r>
        <w:rPr>
          <w:rFonts w:ascii="Arial" w:cs="Arial" w:eastAsia="Arial" w:hAnsi="Arial"/>
          <w:b/>
          <w:bCs/>
          <w:sz w:val="16"/>
          <w:szCs w:val="16"/>
        </w:rPr>
        <w:t xml:space="preserve">Ghid: </w:t>
      </w:r>
      <w:hyperlink w:history="1" r:id="rIdiech8awde7bw7ixybbon6">
        <w:r>
          <w:rPr>
            <w:rFonts w:ascii="Arial" w:cs="Arial" w:eastAsia="Arial" w:hAnsi="Arial"/>
            <w:color w:val="4B7A5E"/>
            <w:sz w:val="16"/>
            <w:szCs w:val="16"/>
            <w:u w:val="single"/>
          </w:rPr>
          <w:t xml:space="preserve">licenta-disertatie-romania.com/resurse/model-acord-informat/</w:t>
        </w:r>
      </w:hyperlink>
    </w:p>
  </w:comment>
  <w:comment w:id="11" w:initials="LR" w:author="Rolul secțiunii" w:date="2026-05-20T10:00:00.000Z">
    <w:p>
      <w:r>
        <w:rPr>
          <w:sz w:val="18"/>
          <w:szCs w:val="18"/>
        </w:rPr>
        <w:t xml:space="preserve">Concluziile răspund la întrebarea de cercetare și la fiecare obiectiv, fără date noi. La Studii Europene se încheie de obicei cu recomandări de politici publice.</w:t>
      </w:r>
    </w:p>
    <w:p>
      <w:r>
        <w:rPr>
          <w:rFonts w:ascii="Arial" w:cs="Arial" w:eastAsia="Arial" w:hAnsi="Arial"/>
          <w:b/>
          <w:bCs/>
          <w:sz w:val="16"/>
          <w:szCs w:val="16"/>
        </w:rPr>
        <w:t xml:space="preserve">Ghid: </w:t>
      </w:r>
      <w:hyperlink w:history="1" r:id="rIdkeja0ztvpwvxriod9ptzr">
        <w:r>
          <w:rPr>
            <w:rFonts w:ascii="Arial" w:cs="Arial" w:eastAsia="Arial" w:hAnsi="Arial"/>
            <w:color w:val="4B7A5E"/>
            <w:sz w:val="16"/>
            <w:szCs w:val="16"/>
            <w:u w:val="single"/>
          </w:rPr>
          <w:t xml:space="preserve">licenta-disertatie-romania.com/blog/concluzii-lucrare-licenta/</w:t>
        </w:r>
      </w:hyperlink>
    </w:p>
  </w:comment>
  <w:comment w:id="12" w:initials="LR" w:author="Rolul secțiunii" w:date="2026-05-20T10:00:00.000Z">
    <w:p>
      <w:r>
        <w:rPr>
          <w:sz w:val="18"/>
          <w:szCs w:val="18"/>
        </w:rPr>
        <w:t xml:space="preserve">Regulamentele UE sunt acte reale. Celelalte surse sunt generice, inventate pentru acest exemplu. În lucrarea ta citezi doar surse reale, în stilul cerut de facultate (aici APA 7), cu legislația UE preluată de pe EUR-Lex.</w:t>
      </w:r>
    </w:p>
    <w:p>
      <w:r>
        <w:rPr>
          <w:rFonts w:ascii="Arial" w:cs="Arial" w:eastAsia="Arial" w:hAnsi="Arial"/>
          <w:b/>
          <w:bCs/>
          <w:sz w:val="16"/>
          <w:szCs w:val="16"/>
        </w:rPr>
        <w:t xml:space="preserve">Ghid: </w:t>
      </w:r>
      <w:hyperlink w:history="1" r:id="rIdtiqvxif1uxnb3fnw0fiaz">
        <w:r>
          <w:rPr>
            <w:rFonts w:ascii="Arial" w:cs="Arial" w:eastAsia="Arial" w:hAnsi="Arial"/>
            <w:color w:val="4B7A5E"/>
            <w:sz w:val="16"/>
            <w:szCs w:val="16"/>
            <w:u w:val="single"/>
          </w:rPr>
          <w:t xml:space="preserve">licenta-disertatie-romania.com/resurse/generator-citare-apa/</w:t>
        </w:r>
      </w:hyperlink>
    </w:p>
  </w:comment>
  <w:comment w:id="13" w:initials="LR" w:author="Rolul secțiunii" w:date="2026-05-20T10:00:00.000Z">
    <w:p>
      <w:r>
        <w:rPr>
          <w:sz w:val="18"/>
          <w:szCs w:val="18"/>
        </w:rPr>
        <w:t xml:space="preserve">În anexă pui instrumentele de lucru (fișa de analiză, ghidul de interviu) și tabelele prea mari pentru text. Fiecare anexă este menționată în capitolul de analiză.</w:t>
      </w:r>
    </w:p>
    <w:p>
      <w:r>
        <w:rPr>
          <w:rFonts w:ascii="Arial" w:cs="Arial" w:eastAsia="Arial" w:hAnsi="Arial"/>
          <w:b/>
          <w:bCs/>
          <w:sz w:val="16"/>
          <w:szCs w:val="16"/>
        </w:rPr>
        <w:t xml:space="preserve">Ghid: </w:t>
      </w:r>
      <w:hyperlink w:history="1" r:id="rId5g0it56i_yug7pskqjztw">
        <w:r>
          <w:rPr>
            <w:rFonts w:ascii="Arial" w:cs="Arial" w:eastAsia="Arial" w:hAnsi="Arial"/>
            <w:color w:val="4B7A5E"/>
            <w:sz w:val="16"/>
            <w:szCs w:val="16"/>
            <w:u w:val="single"/>
          </w:rPr>
          <w:t xml:space="preserve">licenta-disertatie-romania.com/blog/structura-lucrare-licenta/</w:t>
        </w:r>
      </w:hyperlink>
    </w:p>
  </w:comment>
  <w:comment w:id="14"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jbmuajfjmcxpvbbesvcus">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sw0wd3oj6z3vilzzaepf3">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ssw-6yaot_mz1fzilvawh">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xom2nazzlaqmyi8l9ykp" Type="http://schemas.openxmlformats.org/officeDocument/2006/relationships/hyperlink" Target="https://licenta-disertatie-romania.com/blog/cuprins-lucrare-licenta/" TargetMode="External"/><Relationship Id="rIdfogme1dgk4d8pnmlv-62d" Type="http://schemas.openxmlformats.org/officeDocument/2006/relationships/hyperlink" Target="https://licenta-disertatie-romania.com/blog/formatare-lucrare-licenta/" TargetMode="External"/><Relationship Id="rIdgcabiyi4uuz--bfpuikjm" Type="http://schemas.openxmlformats.org/officeDocument/2006/relationships/hyperlink" Target="https://licenta-disertatie-romania.com/blog/introducere-lucrare-licenta/" TargetMode="External"/><Relationship Id="rIdk5lzh8glt60rilizlkcyq" Type="http://schemas.openxmlformats.org/officeDocument/2006/relationships/hyperlink" Target="https://licenta-disertatie-romania.com/blog/structura-lucrare-licenta/" TargetMode="External"/><Relationship Id="rIdtqudclutbk70u8k8kguue" Type="http://schemas.openxmlformats.org/officeDocument/2006/relationships/hyperlink" Target="https://licenta-disertatie-romania.com/resurse/generator-citare-apa/" TargetMode="External"/><Relationship Id="rIdiech8awde7bw7ixybbon6" Type="http://schemas.openxmlformats.org/officeDocument/2006/relationships/hyperlink" Target="https://licenta-disertatie-romania.com/resurse/model-acord-informat/" TargetMode="External"/><Relationship Id="rIdkeja0ztvpwvxriod9ptzr" Type="http://schemas.openxmlformats.org/officeDocument/2006/relationships/hyperlink" Target="https://licenta-disertatie-romania.com/blog/concluzii-lucrare-licenta/" TargetMode="External"/><Relationship Id="rIdtiqvxif1uxnb3fnw0fiaz" Type="http://schemas.openxmlformats.org/officeDocument/2006/relationships/hyperlink" Target="https://licenta-disertatie-romania.com/resurse/generator-citare-apa/" TargetMode="External"/><Relationship Id="rId5g0it56i_yug7pskqjztw" Type="http://schemas.openxmlformats.org/officeDocument/2006/relationships/hyperlink" Target="https://licenta-disertatie-romania.com/blog/structura-lucrare-licenta/" TargetMode="External"/><Relationship Id="rIdjbmuajfjmcxpvbbesvcus"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z295yb6ogwlok3ngt7hge" Type="http://schemas.openxmlformats.org/officeDocument/2006/relationships/hyperlink" Target="https://licenta-disertatie-romania.com/contact/" TargetMode="External"/><Relationship Id="rId10" Type="http://schemas.openxmlformats.org/officeDocument/2006/relationships/image" Target="media/db92253af7a7c8eaf4658a88bae219a40224c5b1.png"/><Relationship Id="rId11" Type="http://schemas.openxmlformats.org/officeDocument/2006/relationships/image" Target="media/ce04d989d02fbe0e88fe2f61a41e5911365de584.png"/><Relationship Id="rId12" Type="http://schemas.openxmlformats.org/officeDocument/2006/relationships/image" Target="media/8b2e13b9a037421943c0cc3d2a8b9e176938bf47.png"/><Relationship Id="rId13" Type="http://schemas.openxmlformats.org/officeDocument/2006/relationships/image" Target="media/a81fff53e5d6c60cfa838a45546de2d4b1229fcb.png"/><Relationship Id="rId14" Type="http://schemas.openxmlformats.org/officeDocument/2006/relationships/image" Target="media/1273c89e2603b235136a70ea6d96fc4fbbda1500.png"/><Relationship Id="rId15" Type="http://schemas.openxmlformats.org/officeDocument/2006/relationships/image" Target="media/0f76199172bbdd447d192c975a21d036a8244514.png"/><Relationship Id="rId16" Type="http://schemas.openxmlformats.org/officeDocument/2006/relationships/image" Target="media/0c97d5dc6297cdb528dc19b55889d1431b535962.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0wd3oj6z3vilzzaepf3"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ssw-6yaot_mz1fzilvawh"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Studii Europene</dc:title>
  <dc:creator>Licenta RO</dc:creator>
  <dc:description>Exemplu fictiv cu date simulate: licenta-disertatie-romania.com</dc:description>
  <cp:lastModifiedBy>Un-named</cp:lastModifiedBy>
  <cp:revision>1</cp:revision>
  <dcterms:created xsi:type="dcterms:W3CDTF">2026-10-05T20:23:58.496Z</dcterms:created>
  <dcterms:modified xsi:type="dcterms:W3CDTF">2026-10-05T20:23:58.497Z</dcterms:modified>
</cp:coreProperties>
</file>

<file path=docProps/custom.xml><?xml version="1.0" encoding="utf-8"?>
<Properties xmlns="http://schemas.openxmlformats.org/officeDocument/2006/custom-properties" xmlns:vt="http://schemas.openxmlformats.org/officeDocument/2006/docPropsVTypes"/>
</file>