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SILVICULTURĂ</w:t>
      </w:r>
    </w:p>
    <w:p>
      <w:pPr>
        <w:spacing w:after="0" w:before="60"/>
        <w:ind w:firstLine="0"/>
        <w:jc w:val="center"/>
      </w:pPr>
      <w:r>
        <w:rPr>
          <w:b w:val="false"/>
          <w:bCs w:val="false"/>
          <w:i w:val="false"/>
          <w:iCs w:val="false"/>
        </w:rPr>
        <w:t xml:space="preserve">Programul de studii: Silvicultură</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Regenerarea naturală în arborete de fag</w:t>
      </w:r>
    </w:p>
    <w:p>
      <w:pPr>
        <w:spacing w:after="0" w:before="120"/>
        <w:ind w:firstLine="0"/>
        <w:jc w:val="center"/>
      </w:pPr>
      <w:r>
        <w:rPr>
          <w:b w:val="false"/>
          <w:bCs w:val="false"/>
          <w:i/>
          <w:iCs/>
          <w:sz w:val="24"/>
          <w:szCs w:val="24"/>
        </w:rPr>
        <w:t xml:space="preserve">Influența acoperirii coronamentului asupra semințișului într-un arboret din zona de deal (date simulate)</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Conf. univ. dr. ing. Dan Ardelean (nume fictiv)</w:t>
      </w:r>
    </w:p>
    <w:p>
      <w:pPr>
        <w:spacing w:before="300"/>
        <w:ind w:firstLine="0"/>
        <w:jc w:val="right"/>
      </w:pPr>
      <w:r>
        <w:rPr>
          <w:b/>
          <w:bCs/>
        </w:rPr>
        <w:t xml:space="preserve">Absolvent:</w:t>
      </w:r>
    </w:p>
    <w:p>
      <w:pPr>
        <w:ind w:firstLine="0"/>
        <w:jc w:val="right"/>
      </w:pPr>
      <w:r>
        <w:t xml:space="preserve">Mihai Rusu (nume fictiv)</w:t>
      </w:r>
    </w:p>
    <w:p>
      <w:pPr>
        <w:spacing w:after="0" w:before="1800"/>
        <w:ind w:firstLine="0"/>
        <w:jc w:val="center"/>
      </w:pPr>
      <w:r>
        <w:rPr>
          <w:b/>
          <w:bCs/>
          <w:i w:val="false"/>
          <w:iCs w:val="false"/>
        </w:rPr>
        <w:t xml:space="preserve">BRAȘOV,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Mihai Rusu</w:t>
      </w:r>
      <w:r>
        <w:t xml:space="preserve">, absolvent(ă) al(a) programului de studii Silvicultură, declar pe propria răspundere că lucrarea de licență cu titlul „Regenerarea naturală în arborete de fag”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Regenerarea naturală a fagului</w:t>
      </w:r>
      <w:r>
        <w:t xml:space="preserve">	7</w:t>
      </w:r>
    </w:p>
    <w:p>
      <w:pPr>
        <w:tabs>
          <w:tab w:val="right" w:pos="9026" w:leader="dot"/>
        </w:tabs>
        <w:spacing w:after="40" w:line="300"/>
        <w:ind w:left="400" w:firstLine="0"/>
        <w:jc w:val="left"/>
      </w:pPr>
      <w:r>
        <w:rPr>
          <w:b w:val="false"/>
          <w:bCs w:val="false"/>
        </w:rPr>
        <w:t xml:space="preserve">1.1. Factorii regenerării</w:t>
      </w:r>
      <w:r>
        <w:t xml:space="preserve">	7</w:t>
      </w:r>
    </w:p>
    <w:p>
      <w:pPr>
        <w:tabs>
          <w:tab w:val="right" w:pos="9026" w:leader="dot"/>
        </w:tabs>
        <w:spacing w:after="40" w:line="300"/>
        <w:ind w:left="400" w:firstLine="0"/>
        <w:jc w:val="left"/>
      </w:pPr>
      <w:r>
        <w:rPr>
          <w:b w:val="false"/>
          <w:bCs w:val="false"/>
        </w:rPr>
        <w:t xml:space="preserve">1.2. Regenerarea sub adăpostul masivului</w:t>
      </w:r>
      <w:r>
        <w:t xml:space="preserve">	7</w:t>
      </w:r>
    </w:p>
    <w:p>
      <w:pPr>
        <w:tabs>
          <w:tab w:val="right" w:pos="9026" w:leader="dot"/>
        </w:tabs>
        <w:spacing w:after="40" w:line="300"/>
        <w:ind w:left="0" w:firstLine="0"/>
        <w:jc w:val="left"/>
      </w:pPr>
      <w:r>
        <w:rPr>
          <w:b/>
          <w:bCs/>
        </w:rPr>
        <w:t xml:space="preserve">Capitolul 2. Material și metodă</w:t>
      </w:r>
      <w:r>
        <w:t xml:space="preserve">	8</w:t>
      </w:r>
    </w:p>
    <w:p>
      <w:pPr>
        <w:tabs>
          <w:tab w:val="right" w:pos="9026" w:leader="dot"/>
        </w:tabs>
        <w:spacing w:after="40" w:line="300"/>
        <w:ind w:left="0" w:firstLine="0"/>
        <w:jc w:val="left"/>
      </w:pPr>
      <w:r>
        <w:rPr>
          <w:b/>
          <w:bCs/>
        </w:rPr>
        <w:t xml:space="preserve">Capitolul 3. Rezultate și propuneri de gospodărire</w:t>
      </w:r>
      <w:r>
        <w:t xml:space="preserve">	9</w:t>
      </w:r>
    </w:p>
    <w:p>
      <w:pPr>
        <w:tabs>
          <w:tab w:val="right" w:pos="9026" w:leader="dot"/>
        </w:tabs>
        <w:spacing w:after="40" w:line="300"/>
        <w:ind w:left="400" w:firstLine="0"/>
        <w:jc w:val="left"/>
      </w:pPr>
      <w:r>
        <w:rPr>
          <w:b w:val="false"/>
          <w:bCs w:val="false"/>
        </w:rPr>
        <w:t xml:space="preserve">3.1. Caracterizarea piețelor</w:t>
      </w:r>
      <w:r>
        <w:t xml:space="preserve">	9</w:t>
      </w:r>
    </w:p>
    <w:p>
      <w:pPr>
        <w:tabs>
          <w:tab w:val="right" w:pos="9026" w:leader="dot"/>
        </w:tabs>
        <w:spacing w:after="40" w:line="300"/>
        <w:ind w:left="400" w:firstLine="0"/>
        <w:jc w:val="left"/>
      </w:pPr>
      <w:r>
        <w:rPr>
          <w:b w:val="false"/>
          <w:bCs w:val="false"/>
        </w:rPr>
        <w:t xml:space="preserve">3.2. Compoziția și structura semințișului</w:t>
      </w:r>
      <w:r>
        <w:t xml:space="preserve">	9</w:t>
      </w:r>
    </w:p>
    <w:p>
      <w:pPr>
        <w:tabs>
          <w:tab w:val="right" w:pos="9026" w:leader="dot"/>
        </w:tabs>
        <w:spacing w:after="40" w:line="300"/>
        <w:ind w:left="400" w:firstLine="0"/>
        <w:jc w:val="left"/>
      </w:pPr>
      <w:r>
        <w:rPr>
          <w:b w:val="false"/>
          <w:bCs w:val="false"/>
        </w:rPr>
        <w:t xml:space="preserve">3.3. Semințișul în funcție de acoperirea coronamentului</w:t>
      </w:r>
      <w:r>
        <w:t xml:space="preserve">	10</w:t>
      </w:r>
    </w:p>
    <w:p>
      <w:pPr>
        <w:tabs>
          <w:tab w:val="right" w:pos="9026" w:leader="dot"/>
        </w:tabs>
        <w:spacing w:after="40" w:line="300"/>
        <w:ind w:left="400" w:firstLine="0"/>
        <w:jc w:val="left"/>
      </w:pPr>
      <w:r>
        <w:rPr>
          <w:b w:val="false"/>
          <w:bCs w:val="false"/>
        </w:rPr>
        <w:t xml:space="preserve">3.4. Măsuri silviculturale propuse</w:t>
      </w:r>
      <w:r>
        <w:t xml:space="preserve">	12</w:t>
      </w:r>
    </w:p>
    <w:p>
      <w:pPr>
        <w:tabs>
          <w:tab w:val="right" w:pos="9026" w:leader="dot"/>
        </w:tabs>
        <w:spacing w:after="40" w:line="300"/>
        <w:ind w:left="0" w:firstLine="0"/>
        <w:jc w:val="left"/>
      </w:pPr>
      <w:r>
        <w:rPr>
          <w:b/>
          <w:bCs/>
        </w:rPr>
        <w:t xml:space="preserve">Concluzii</w:t>
      </w:r>
      <w:r>
        <w:t xml:space="preserve">	13</w:t>
      </w:r>
    </w:p>
    <w:p>
      <w:pPr>
        <w:tabs>
          <w:tab w:val="right" w:pos="9026" w:leader="dot"/>
        </w:tabs>
        <w:spacing w:after="40" w:line="300"/>
        <w:ind w:left="0" w:firstLine="0"/>
        <w:jc w:val="left"/>
      </w:pPr>
      <w:r>
        <w:rPr>
          <w:b/>
          <w:bCs/>
        </w:rPr>
        <w:t xml:space="preserve">Bibliografie</w:t>
      </w:r>
      <w:r>
        <w:t xml:space="preserve">	14</w:t>
      </w:r>
    </w:p>
    <w:p>
      <w:pPr>
        <w:tabs>
          <w:tab w:val="right" w:pos="9026" w:leader="dot"/>
        </w:tabs>
        <w:spacing w:after="40" w:line="300"/>
        <w:ind w:left="0" w:firstLine="0"/>
        <w:jc w:val="left"/>
      </w:pPr>
      <w:r>
        <w:rPr>
          <w:b/>
          <w:bCs/>
        </w:rPr>
        <w:t xml:space="preserve">Anexa 1. Fișa de teren pentru o piață de regenerare</w:t>
      </w:r>
      <w:r>
        <w:t xml:space="preserve">	15</w:t>
      </w:r>
    </w:p>
    <w:p>
      <w:pPr>
        <w:tabs>
          <w:tab w:val="right" w:pos="9026" w:leader="dot"/>
        </w:tabs>
        <w:spacing w:after="40" w:line="300"/>
        <w:ind w:left="0" w:firstLine="0"/>
        <w:jc w:val="left"/>
      </w:pPr>
      <w:r>
        <w:rPr>
          <w:b/>
          <w:bCs/>
        </w:rPr>
        <w:t xml:space="preserve">Bonus: același paragraf, înainte și după corectare</w:t>
      </w:r>
      <w:r>
        <w:t xml:space="preserve">	16</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Etapele regenerării naturale sub masiv</w:t>
      </w:r>
      <w:r>
        <w:t xml:space="preserve">	7</w:t>
      </w:r>
    </w:p>
    <w:p>
      <w:pPr>
        <w:tabs>
          <w:tab w:val="right" w:pos="9026" w:leader="dot"/>
        </w:tabs>
        <w:spacing w:after="40" w:line="300"/>
        <w:ind w:left="0" w:firstLine="0"/>
        <w:jc w:val="left"/>
      </w:pPr>
      <w:r>
        <w:rPr>
          <w:b w:val="false"/>
          <w:bCs w:val="false"/>
        </w:rPr>
        <w:t xml:space="preserve">Figura 2. Etapele cercetării de teren</w:t>
      </w:r>
      <w:r>
        <w:t xml:space="preserve">	8</w:t>
      </w:r>
    </w:p>
    <w:p>
      <w:pPr>
        <w:tabs>
          <w:tab w:val="right" w:pos="9026" w:leader="dot"/>
        </w:tabs>
        <w:spacing w:after="40" w:line="300"/>
        <w:ind w:left="0" w:firstLine="0"/>
        <w:jc w:val="left"/>
      </w:pPr>
      <w:r>
        <w:rPr>
          <w:b w:val="false"/>
          <w:bCs w:val="false"/>
        </w:rPr>
        <w:t xml:space="preserve">Figura 3. Numărul de puieți pe specii și clase de înălțime</w:t>
      </w:r>
      <w:r>
        <w:t xml:space="preserve">	10</w:t>
      </w:r>
    </w:p>
    <w:p>
      <w:pPr>
        <w:tabs>
          <w:tab w:val="right" w:pos="9026" w:leader="dot"/>
        </w:tabs>
        <w:spacing w:after="40" w:line="300"/>
        <w:ind w:left="0" w:firstLine="0"/>
        <w:jc w:val="left"/>
      </w:pPr>
      <w:r>
        <w:rPr>
          <w:b w:val="false"/>
          <w:bCs w:val="false"/>
        </w:rPr>
        <w:t xml:space="preserve">Figura 4. Desimea semințișului pe clase de acoperire a coronamentului</w:t>
      </w:r>
      <w:r>
        <w:t xml:space="preserve">	10</w:t>
      </w:r>
    </w:p>
    <w:p>
      <w:pPr>
        <w:tabs>
          <w:tab w:val="right" w:pos="9026" w:leader="dot"/>
        </w:tabs>
        <w:spacing w:after="40" w:line="300"/>
        <w:ind w:left="0" w:firstLine="0"/>
        <w:jc w:val="left"/>
      </w:pPr>
      <w:r>
        <w:rPr>
          <w:b w:val="false"/>
          <w:bCs w:val="false"/>
        </w:rPr>
        <w:t xml:space="preserve">Figura 5. Desimea semințișului în funcție de lumina relativă (36 de piețe)</w:t>
      </w:r>
      <w:r>
        <w:t xml:space="preserve">	11</w:t>
      </w:r>
    </w:p>
    <w:p>
      <w:pPr>
        <w:tabs>
          <w:tab w:val="right" w:pos="9026" w:leader="dot"/>
        </w:tabs>
        <w:spacing w:after="40" w:line="300"/>
        <w:ind w:left="0" w:firstLine="0"/>
        <w:jc w:val="left"/>
      </w:pPr>
      <w:r>
        <w:rPr>
          <w:b w:val="false"/>
          <w:bCs w:val="false"/>
        </w:rPr>
        <w:t xml:space="preserve">Figura 6. Lumina relativă medie pe clase de acoperire a coronamentului (%)</w:t>
      </w:r>
      <w:r>
        <w:t xml:space="preserve">	11</w:t>
      </w:r>
    </w:p>
    <w:p>
      <w:pPr>
        <w:tabs>
          <w:tab w:val="right" w:pos="9026" w:leader="dot"/>
        </w:tabs>
        <w:spacing w:after="40" w:line="300"/>
        <w:ind w:left="0" w:firstLine="0"/>
        <w:jc w:val="left"/>
      </w:pPr>
      <w:r>
        <w:rPr>
          <w:b w:val="false"/>
          <w:bCs w:val="false"/>
        </w:rPr>
        <w:t xml:space="preserve">Figura 7. Calendarul măsurilor propuse</w:t>
      </w:r>
      <w:r>
        <w:t xml:space="preserve">	12</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Factorii care influențează regenerarea naturală a fagului</w:t>
      </w:r>
      <w:r>
        <w:t xml:space="preserve">	7</w:t>
      </w:r>
    </w:p>
    <w:p>
      <w:pPr>
        <w:tabs>
          <w:tab w:val="right" w:pos="9026" w:leader="dot"/>
        </w:tabs>
        <w:spacing w:after="40" w:line="300"/>
        <w:ind w:left="0" w:firstLine="0"/>
        <w:jc w:val="left"/>
      </w:pPr>
      <w:r>
        <w:rPr>
          <w:b w:val="false"/>
          <w:bCs w:val="false"/>
        </w:rPr>
        <w:t xml:space="preserve">Tabelul 2. Caracteristicile arboretului studiat (date simulate)</w:t>
      </w:r>
      <w:r>
        <w:t xml:space="preserve">	8</w:t>
      </w:r>
    </w:p>
    <w:p>
      <w:pPr>
        <w:tabs>
          <w:tab w:val="right" w:pos="9026" w:leader="dot"/>
        </w:tabs>
        <w:spacing w:after="40" w:line="300"/>
        <w:ind w:left="0" w:firstLine="0"/>
        <w:jc w:val="left"/>
      </w:pPr>
      <w:r>
        <w:rPr>
          <w:b w:val="false"/>
          <w:bCs w:val="false"/>
        </w:rPr>
        <w:t xml:space="preserve">Tabelul 3. Variabilele măsurate în piețele de regenerare</w:t>
      </w:r>
      <w:r>
        <w:t xml:space="preserve">	8</w:t>
      </w:r>
    </w:p>
    <w:p>
      <w:pPr>
        <w:tabs>
          <w:tab w:val="right" w:pos="9026" w:leader="dot"/>
        </w:tabs>
        <w:spacing w:after="40" w:line="300"/>
        <w:ind w:left="0" w:firstLine="0"/>
        <w:jc w:val="left"/>
      </w:pPr>
      <w:r>
        <w:rPr>
          <w:b w:val="false"/>
          <w:bCs w:val="false"/>
        </w:rPr>
        <w:t xml:space="preserve">Tabelul 4. Statistica descriptivă a variabilelor măsurate (36 de piețe)</w:t>
      </w:r>
      <w:r>
        <w:t xml:space="preserve">	9</w:t>
      </w:r>
    </w:p>
    <w:p>
      <w:pPr>
        <w:tabs>
          <w:tab w:val="right" w:pos="9026" w:leader="dot"/>
        </w:tabs>
        <w:spacing w:after="40" w:line="300"/>
        <w:ind w:left="0" w:firstLine="0"/>
        <w:jc w:val="left"/>
      </w:pPr>
      <w:r>
        <w:rPr>
          <w:b w:val="false"/>
          <w:bCs w:val="false"/>
        </w:rPr>
        <w:t xml:space="preserve">Tabelul 5. Structura semințișului pe specii și clase de înălțime (număr de puieți în cele 36 de piețe)</w:t>
      </w:r>
      <w:r>
        <w:t xml:space="preserve">	9</w:t>
      </w:r>
    </w:p>
    <w:p>
      <w:pPr>
        <w:tabs>
          <w:tab w:val="right" w:pos="9026" w:leader="dot"/>
        </w:tabs>
        <w:spacing w:after="40" w:line="300"/>
        <w:ind w:left="0" w:firstLine="0"/>
        <w:jc w:val="left"/>
      </w:pPr>
      <w:r>
        <w:rPr>
          <w:b w:val="false"/>
          <w:bCs w:val="false"/>
        </w:rPr>
        <w:t xml:space="preserve">Tabelul 6. Desimea semințișului pe clase de acoperire a coronamentului (ex./m²)</w:t>
      </w:r>
      <w:r>
        <w:t xml:space="preserve">	10</w:t>
      </w:r>
    </w:p>
    <w:p>
      <w:pPr>
        <w:tabs>
          <w:tab w:val="right" w:pos="9026" w:leader="dot"/>
        </w:tabs>
        <w:spacing w:after="40" w:line="300"/>
        <w:ind w:left="0" w:firstLine="0"/>
        <w:jc w:val="left"/>
      </w:pPr>
      <w:r>
        <w:rPr>
          <w:b w:val="false"/>
          <w:bCs w:val="false"/>
        </w:rPr>
        <w:t xml:space="preserve">Tabelul 7. Corelațiile dintre acoperirea coronamentului, lumina relativă și desimea semințișului</w:t>
      </w:r>
      <w:r>
        <w:t xml:space="preserve">	11</w:t>
      </w:r>
    </w:p>
    <w:p>
      <w:pPr>
        <w:tabs>
          <w:tab w:val="right" w:pos="9026" w:leader="dot"/>
        </w:tabs>
        <w:spacing w:after="40" w:line="300"/>
        <w:ind w:left="0" w:firstLine="0"/>
        <w:jc w:val="left"/>
      </w:pPr>
      <w:r>
        <w:rPr>
          <w:b w:val="false"/>
          <w:bCs w:val="false"/>
        </w:rPr>
        <w:t xml:space="preserve">Tabelul 8. Măsurile silviculturale propuse, pe zone ale arboretului</w:t>
      </w:r>
      <w:r>
        <w:t xml:space="preserve">	12</w:t>
      </w:r>
    </w:p>
    <w:p>
      <w:pPr>
        <w:pStyle w:val="Heading1"/>
        <w:pageBreakBefore/>
      </w:pPr>
      <w:commentRangeStart w:id="3"/>
      <w:r>
        <w:t xml:space="preserve">Rezumat</w:t>
      </w:r>
      <w:commentRangeEnd w:id="3"/>
      <w:r>
        <w:commentReference w:id="3"/>
      </w:r>
    </w:p>
    <w:p>
      <w:r>
        <w:t xml:space="preserve">Lucrarea evaluează regenerarea naturală într-un arboret de fag parcurs cu tăieri progresive, în funcție de acoperirea coronamentului. În 36 de piețe de regenerare de 2 × 2 m, amplasate sistematic, au fost măsurate acoperirea coronamentului, lumina relativă și desimea semințișului pe specii și clase de înălțime (date simulate). Au fost inventariați 1.456 de puieți, dintre care 76,2% de fag, majoritatea sub 10 cm înălțime. Desimea semințișului diferă semnificativ între clasele de acoperire (ANOVA): este de peste două ori mai mare sub 70% acoperire decât peste 85%. Lumina relativă scade puternic odată cu acoperirea și este corelată pozitiv cu desimea semințișului. Pe baza rezultatelor, lucrarea propune măsuri diferențiate pe zone: lărgirea ochiurilor în zonele cu coronament închis, extracții treptate în zonele intermediare și descopleșiri în cele rărite.</w:t>
      </w:r>
    </w:p>
    <w:p>
      <w:pPr>
        <w:spacing w:after="400"/>
        <w:ind w:firstLine="0"/>
        <w:jc w:val="left"/>
      </w:pPr>
      <w:r>
        <w:rPr>
          <w:b/>
          <w:bCs/>
        </w:rPr>
        <w:t xml:space="preserve">Cuvinte-cheie:</w:t>
      </w:r>
      <w:r>
        <w:t xml:space="preserve"> regenerare naturală, fag, Fagus sylvatica, semințiș, acoperirea coronamentului, lumină relativă, tăieri progresive</w:t>
      </w:r>
    </w:p>
    <w:p>
      <w:pPr>
        <w:spacing w:after="200"/>
        <w:ind w:firstLine="0"/>
        <w:jc w:val="center"/>
      </w:pPr>
      <w:r>
        <w:rPr>
          <w:b/>
          <w:bCs/>
          <w:color w:val="16233F"/>
          <w:sz w:val="26"/>
          <w:szCs w:val="26"/>
        </w:rPr>
        <w:t xml:space="preserve">Abstract</w:t>
      </w:r>
    </w:p>
    <w:p>
      <w:r>
        <w:t xml:space="preserve">This thesis assesses natural regeneration in a beech stand managed under a shelterwood system, in relation to canopy cover. In 36 systematically placed 2 × 2 m regeneration plots, canopy cover, relative light and seedling density by species and height class were measured (simulated data). A total of 1,456 seedlings were recorded, 76.2% of them beech, most of them below 10 cm in height. Seedling density differs significantly between canopy cover classes (ANOVA): it is more than twice as high under 70% cover as above 85%. Relative light decreases sharply with canopy cover and is positively correlated with seedling density. Based on these results, the thesis proposes measures differentiated by zone: enlarging gaps where the canopy is closed, gradual removals in intermediate areas and weeding where the canopy is open.</w:t>
      </w:r>
    </w:p>
    <w:p>
      <w:pPr>
        <w:ind w:firstLine="0"/>
        <w:jc w:val="left"/>
      </w:pPr>
      <w:r>
        <w:rPr>
          <w:b/>
          <w:bCs/>
        </w:rPr>
        <w:t xml:space="preserve">Keywords:</w:t>
      </w:r>
      <w:r>
        <w:t xml:space="preserve"> natural regeneration, European beech, Fagus sylvatica, seedlings, canopy cover, relative light, shelterwood cutting</w:t>
      </w:r>
    </w:p>
    <w:p>
      <w:pPr>
        <w:pStyle w:val="Heading1"/>
        <w:pageBreakBefore/>
      </w:pPr>
      <w:commentRangeStart w:id="4"/>
      <w:r>
        <w:t xml:space="preserve">Introducere</w:t>
      </w:r>
      <w:commentRangeEnd w:id="4"/>
      <w:r>
        <w:commentReference w:id="4"/>
      </w:r>
    </w:p>
    <w:p>
      <w:r>
        <w:t xml:space="preserve">Fagul (</w:t>
      </w:r>
      <w:r>
        <w:rPr>
          <w:i/>
          <w:iCs/>
        </w:rPr>
        <w:t xml:space="preserve">Fagus sylvatica</w:t>
      </w:r>
      <w:r>
        <w:t xml:space="preserve"> L.) se regenerează bine pe cale naturală, dar succesul depinde de lumina primită de semințiș după tăierile de regenerare. Sub un coronament prea închis puieții rămân mici și se usucă, iar la lumină prea multă sunt copleșiți de vegetația ierbacee și de mur.</w:t>
      </w:r>
    </w:p>
    <w:p>
      <w:r>
        <w:rPr>
          <w:b/>
          <w:bCs/>
        </w:rPr>
        <w:t xml:space="preserve">Scopul lucrării</w:t>
      </w:r>
      <w:r>
        <w:t xml:space="preserve"> este evaluarea regenerării naturale într-un arboret de fag parcurs cu tăieri progresive, în funcție de acoperirea coronamentului. </w:t>
      </w:r>
      <w:r>
        <w:rPr>
          <w:b/>
          <w:bCs/>
        </w:rPr>
        <w:t xml:space="preserve">Obiectivele</w:t>
      </w:r>
      <w:r>
        <w:t xml:space="preserve"> sunt:</w:t>
      </w:r>
    </w:p>
    <w:p>
      <w:pPr>
        <w:tabs>
          <w:tab w:val="left" w:pos="709"/>
        </w:tabs>
        <w:spacing w:after="60"/>
        <w:ind w:left="709" w:hanging="357" w:firstLine="0"/>
        <w:jc w:val="left"/>
      </w:pPr>
      <w:r>
        <w:t xml:space="preserve">1.	</w:t>
      </w:r>
      <w:r>
        <w:t xml:space="preserve">inventarierea semințișului pe specii și clase de înălțime, în piețe de probă;</w:t>
      </w:r>
    </w:p>
    <w:p>
      <w:pPr>
        <w:tabs>
          <w:tab w:val="left" w:pos="709"/>
        </w:tabs>
        <w:spacing w:after="60"/>
        <w:ind w:left="709" w:hanging="357" w:firstLine="0"/>
        <w:jc w:val="left"/>
      </w:pPr>
      <w:r>
        <w:t xml:space="preserve">2.	</w:t>
      </w:r>
      <w:r>
        <w:t xml:space="preserve">compararea desimii semințișului între clase de acoperire a coronamentului;</w:t>
      </w:r>
    </w:p>
    <w:p>
      <w:pPr>
        <w:tabs>
          <w:tab w:val="left" w:pos="709"/>
        </w:tabs>
        <w:spacing w:after="60"/>
        <w:ind w:left="709" w:hanging="357" w:firstLine="0"/>
        <w:jc w:val="left"/>
      </w:pPr>
      <w:r>
        <w:t xml:space="preserve">3.	</w:t>
      </w:r>
      <w:r>
        <w:t xml:space="preserve">propunerea unor măsuri silviculturale pentru continuarea regenerării.</w:t>
      </w:r>
    </w:p>
    <w:p>
      <w:commentRangeStart w:id="5"/>
      <w:r>
        <w:rPr>
          <w:b/>
          <w:bCs/>
        </w:rPr>
        <w:t xml:space="preserve">Ipoteza</w:t>
      </w:r>
      <w:r>
        <w:t xml:space="preserve"> principală: desimea semințișului scade odată cu creșterea acoperirii coronamentului, prin reducerea luminii la nivelul solului.</w:t>
      </w:r>
      <w:commentRangeEnd w:id="5"/>
      <w:r>
        <w:commentReference w:id="5"/>
      </w:r>
    </w:p>
    <w:p>
      <w:pPr>
        <w:pStyle w:val="Heading1"/>
        <w:pageBreakBefore/>
      </w:pPr>
      <w:commentRangeStart w:id="6"/>
      <w:r>
        <w:t xml:space="preserve">Capitolul 1. Regenerarea naturală a fagului</w:t>
      </w:r>
      <w:commentRangeEnd w:id="6"/>
      <w:r>
        <w:commentReference w:id="6"/>
      </w:r>
    </w:p>
    <w:p>
      <w:pPr>
        <w:pStyle w:val="Heading2"/>
        <w:keepNext/>
      </w:pPr>
      <w:r>
        <w:t xml:space="preserve">1.1. Factorii regenerării</w:t>
      </w:r>
    </w:p>
    <w:p>
      <w:r>
        <w:t xml:space="preserve">Regenerarea naturală depinde de existența seminței, de condițiile de germinare și instalare, de concurența altor plante și de intervențiile silviculturale (Tabelul 1; Neagu, 2019).</w:t>
      </w:r>
    </w:p>
    <w:p>
      <w:pPr>
        <w:keepNext/>
        <w:spacing w:after="80" w:before="200" w:line="260"/>
        <w:ind w:firstLine="0"/>
        <w:jc w:val="left"/>
      </w:pPr>
      <w:r>
        <w:rPr>
          <w:b/>
          <w:bCs/>
          <w:sz w:val="22"/>
          <w:szCs w:val="22"/>
        </w:rPr>
        <w:t xml:space="preserve">Tabelul 1.</w:t>
      </w:r>
      <w:r>
        <w:rPr>
          <w:sz w:val="22"/>
          <w:szCs w:val="22"/>
        </w:rPr>
        <w:t xml:space="preserve"> Factorii care influențează regenerarea naturală a fagului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844"/>
        <w:gridCol w:w="3843"/>
        <w:gridCol w:w="3382"/>
      </w:tblGrid>
      <w:tr>
        <w:trPr>
          <w:tblHeader/>
        </w:trPr>
        <w:tc>
          <w:tcPr>
            <w:tcW w:type="dxa" w:w="184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Factorul</w:t>
            </w:r>
          </w:p>
        </w:tc>
        <w:tc>
          <w:tcPr>
            <w:tcW w:type="dxa" w:w="384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Efectul asupra regenerării</w:t>
            </w:r>
          </w:p>
        </w:tc>
        <w:tc>
          <w:tcPr>
            <w:tcW w:type="dxa" w:w="338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Cum poate interveni silvicultorul</w:t>
            </w:r>
          </w:p>
        </w:tc>
      </w:tr>
      <w:tr>
        <w:trPr>
          <w:cantSplit/>
        </w:trPr>
        <w:tc>
          <w:tcPr>
            <w:tcW w:type="dxa" w:w="18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Fructificația</w:t>
            </w:r>
          </w:p>
        </w:tc>
        <w:tc>
          <w:tcPr>
            <w:tcW w:type="dxa" w:w="38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Anii de fructificație abundentă sunt neregulați</w:t>
            </w:r>
          </w:p>
        </w:tc>
        <w:tc>
          <w:tcPr>
            <w:tcW w:type="dxa" w:w="33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Tăieri de însămânțare în anii de fructificație</w:t>
            </w:r>
          </w:p>
        </w:tc>
      </w:tr>
      <w:tr>
        <w:trPr>
          <w:cantSplit/>
        </w:trPr>
        <w:tc>
          <w:tcPr>
            <w:tcW w:type="dxa" w:w="18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Lumina</w:t>
            </w:r>
          </w:p>
        </w:tc>
        <w:tc>
          <w:tcPr>
            <w:tcW w:type="dxa" w:w="384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Puieții suportă umbra, dar cresc slab sub masiv închis</w:t>
            </w:r>
          </w:p>
        </w:tc>
        <w:tc>
          <w:tcPr>
            <w:tcW w:type="dxa" w:w="338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Punerea treptată în lumină</w:t>
            </w:r>
          </w:p>
        </w:tc>
      </w:tr>
      <w:tr>
        <w:trPr>
          <w:cantSplit/>
        </w:trPr>
        <w:tc>
          <w:tcPr>
            <w:tcW w:type="dxa" w:w="18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Patul germinativ</w:t>
            </w:r>
          </w:p>
        </w:tc>
        <w:tc>
          <w:tcPr>
            <w:tcW w:type="dxa" w:w="38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Litiera groasă împiedică germinarea</w:t>
            </w:r>
          </w:p>
        </w:tc>
        <w:tc>
          <w:tcPr>
            <w:tcW w:type="dxa" w:w="33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Mobilizarea solului pe porțiuni</w:t>
            </w:r>
          </w:p>
        </w:tc>
      </w:tr>
      <w:tr>
        <w:trPr>
          <w:cantSplit/>
        </w:trPr>
        <w:tc>
          <w:tcPr>
            <w:tcW w:type="dxa" w:w="18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Concurența</w:t>
            </w:r>
          </w:p>
        </w:tc>
        <w:tc>
          <w:tcPr>
            <w:tcW w:type="dxa" w:w="384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Murul și ierburile copleșesc semințișul la lumină multă</w:t>
            </w:r>
          </w:p>
        </w:tc>
        <w:tc>
          <w:tcPr>
            <w:tcW w:type="dxa" w:w="338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Descopleșiri și degajări</w:t>
            </w:r>
          </w:p>
        </w:tc>
      </w:tr>
      <w:tr>
        <w:trPr>
          <w:cantSplit/>
        </w:trPr>
        <w:tc>
          <w:tcPr>
            <w:tcW w:type="dxa" w:w="18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Vânatul</w:t>
            </w:r>
          </w:p>
        </w:tc>
        <w:tc>
          <w:tcPr>
            <w:tcW w:type="dxa" w:w="38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Rosul reduce semințișul</w:t>
            </w:r>
          </w:p>
        </w:tc>
        <w:tc>
          <w:tcPr>
            <w:tcW w:type="dxa" w:w="33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Împrejmuiri locale, unde este cazul</w:t>
            </w:r>
          </w:p>
        </w:tc>
      </w:tr>
    </w:tbl>
    <w:p>
      <w:pPr>
        <w:spacing w:after="200" w:before="40" w:line="240"/>
        <w:ind w:firstLine="0"/>
        <w:jc w:val="left"/>
      </w:pPr>
      <w:r>
        <w:rPr>
          <w:i/>
          <w:iCs/>
          <w:color w:val="7A8191"/>
          <w:sz w:val="18"/>
          <w:szCs w:val="18"/>
        </w:rPr>
        <w:t xml:space="preserve">Sursa: Sinteză proprie după Neagu (2019) și Pop și Stan (2021) (surse fictive).</w:t>
      </w:r>
    </w:p>
    <w:p>
      <w:pPr>
        <w:pStyle w:val="Heading2"/>
        <w:keepNext/>
      </w:pPr>
      <w:r>
        <w:t xml:space="preserve">1.2. Regenerarea sub adăpostul masivului</w:t>
      </w:r>
    </w:p>
    <w:p>
      <w:r>
        <w:t xml:space="preserve">În făgete, regenerarea se conduce de obicei sub adăpostul arborilor bătrâni: o tăiere de însămânțare deschide ochiuri în coronament, iar tăierile următoare pun treptat semințișul în lumină, până la tăierea definitivă (Figura 1; Pop și Stan, 2021).</w:t>
      </w:r>
    </w:p>
    <w:p>
      <w:pPr>
        <w:keepNext/>
        <w:spacing w:after="60" w:before="160" w:line="240"/>
        <w:ind w:firstLine="0"/>
        <w:jc w:val="center"/>
      </w:pPr>
      <w:r>
        <w:drawing>
          <wp:inline distT="0" distB="0" distL="0" distR="0">
            <wp:extent cx="5762625" cy="2009775"/>
            <wp:effectExtent t="0" r="0" b="0" l="0"/>
            <wp:docPr id="1" name="Figura 1" descr="Etapele regenerării naturale sub masiv" title="Etapele regenerării naturale sub mas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Etapele regenerării naturale sub masiv</w:t>
      </w:r>
    </w:p>
    <w:p>
      <w:pPr>
        <w:spacing w:after="200" w:line="240"/>
        <w:ind w:firstLine="0"/>
        <w:jc w:val="center"/>
      </w:pPr>
      <w:commentRangeStart w:id="7"/>
      <w:r>
        <w:rPr>
          <w:i/>
          <w:iCs/>
          <w:color w:val="7A8191"/>
          <w:sz w:val="18"/>
          <w:szCs w:val="18"/>
        </w:rPr>
        <w:t xml:space="preserve">Sursa: Prelucrare proprie.</w:t>
      </w:r>
      <w:commentRangeEnd w:id="7"/>
      <w:r>
        <w:commentReference w:id="7"/>
      </w:r>
    </w:p>
    <w:p>
      <w:pPr>
        <w:pStyle w:val="Heading1"/>
        <w:pageBreakBefore/>
      </w:pPr>
      <w:commentRangeStart w:id="8"/>
      <w:r>
        <w:t xml:space="preserve">Capitolul 2. Material și metodă</w:t>
      </w:r>
      <w:commentRangeEnd w:id="8"/>
      <w:r>
        <w:commentReference w:id="8"/>
      </w:r>
    </w:p>
    <w:p>
      <w:r>
        <w:t xml:space="preserve">Studiul s-a desfășurat într-o unitate amenajistică de 12,4 ha, parcursă cu prima tăiere de însămânțare acum 6 ani (Tabelul 2).</w:t>
      </w:r>
    </w:p>
    <w:p>
      <w:pPr>
        <w:keepNext/>
        <w:spacing w:after="80" w:before="200" w:line="260"/>
        <w:ind w:firstLine="0"/>
        <w:jc w:val="left"/>
      </w:pPr>
      <w:r>
        <w:rPr>
          <w:b/>
          <w:bCs/>
          <w:sz w:val="22"/>
          <w:szCs w:val="22"/>
        </w:rPr>
        <w:t xml:space="preserve">Tabelul 2.</w:t>
      </w:r>
      <w:r>
        <w:rPr>
          <w:sz w:val="22"/>
          <w:szCs w:val="22"/>
        </w:rPr>
        <w:t xml:space="preserve"> Caracteristicile arboretului studiat (date simulate)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563"/>
        <w:gridCol w:w="5507"/>
      </w:tblGrid>
      <w:tr>
        <w:trPr>
          <w:tblHeader/>
        </w:trPr>
        <w:tc>
          <w:tcPr>
            <w:tcW w:type="dxa" w:w="35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w:t>
            </w:r>
          </w:p>
        </w:tc>
        <w:tc>
          <w:tcPr>
            <w:tcW w:type="dxa" w:w="550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Valoare</w:t>
            </w:r>
          </w:p>
        </w:tc>
      </w:tr>
      <w:tr>
        <w:trPr>
          <w:cantSplit/>
        </w:trPr>
        <w:tc>
          <w:tcPr>
            <w:tcW w:type="dxa" w:w="3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Suprafața unității amenajistice</w:t>
            </w:r>
          </w:p>
        </w:tc>
        <w:tc>
          <w:tcPr>
            <w:tcW w:type="dxa" w:w="55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12,4 ha</w:t>
            </w:r>
          </w:p>
        </w:tc>
      </w:tr>
      <w:tr>
        <w:trPr>
          <w:cantSplit/>
        </w:trPr>
        <w:tc>
          <w:tcPr>
            <w:tcW w:type="dxa" w:w="3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Compoziția</w:t>
            </w:r>
          </w:p>
        </w:tc>
        <w:tc>
          <w:tcPr>
            <w:tcW w:type="dxa" w:w="55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8FA 1CA 1PAM (fag, carpen, paltin de munte)</w:t>
            </w:r>
          </w:p>
        </w:tc>
      </w:tr>
      <w:tr>
        <w:trPr>
          <w:cantSplit/>
        </w:trPr>
        <w:tc>
          <w:tcPr>
            <w:tcW w:type="dxa" w:w="3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Vârsta medie</w:t>
            </w:r>
          </w:p>
        </w:tc>
        <w:tc>
          <w:tcPr>
            <w:tcW w:type="dxa" w:w="55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115 ani</w:t>
            </w:r>
          </w:p>
        </w:tc>
      </w:tr>
      <w:tr>
        <w:trPr>
          <w:cantSplit/>
        </w:trPr>
        <w:tc>
          <w:tcPr>
            <w:tcW w:type="dxa" w:w="3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Consistența</w:t>
            </w:r>
          </w:p>
        </w:tc>
        <w:tc>
          <w:tcPr>
            <w:tcW w:type="dxa" w:w="55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0,8</w:t>
            </w:r>
          </w:p>
        </w:tc>
      </w:tr>
      <w:tr>
        <w:trPr>
          <w:cantSplit/>
        </w:trPr>
        <w:tc>
          <w:tcPr>
            <w:tcW w:type="dxa" w:w="3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Altitudinea, expoziția, panta</w:t>
            </w:r>
          </w:p>
        </w:tc>
        <w:tc>
          <w:tcPr>
            <w:tcW w:type="dxa" w:w="55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750–850 m, nord-vestică, 15–20°</w:t>
            </w:r>
          </w:p>
        </w:tc>
      </w:tr>
      <w:tr>
        <w:trPr>
          <w:cantSplit/>
        </w:trPr>
        <w:tc>
          <w:tcPr>
            <w:tcW w:type="dxa" w:w="3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Solul</w:t>
            </w:r>
          </w:p>
        </w:tc>
        <w:tc>
          <w:tcPr>
            <w:tcW w:type="dxa" w:w="55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Eutricambosol, profund, cu litieră de 3–5 cm</w:t>
            </w:r>
          </w:p>
        </w:tc>
      </w:tr>
      <w:tr>
        <w:trPr>
          <w:cantSplit/>
        </w:trPr>
        <w:tc>
          <w:tcPr>
            <w:tcW w:type="dxa" w:w="3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Tratamentul aplicat</w:t>
            </w:r>
          </w:p>
        </w:tc>
        <w:tc>
          <w:tcPr>
            <w:tcW w:type="dxa" w:w="55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Tăieri progresive; prima tăiere de însămânțare acum 6 ani</w:t>
            </w:r>
          </w:p>
        </w:tc>
      </w:tr>
    </w:tbl>
    <w:p>
      <w:pPr>
        <w:spacing w:after="200" w:before="40" w:line="240"/>
        <w:ind w:firstLine="0"/>
        <w:jc w:val="left"/>
      </w:pPr>
      <w:r>
        <w:rPr>
          <w:i/>
          <w:iCs/>
          <w:color w:val="7A8191"/>
          <w:sz w:val="18"/>
          <w:szCs w:val="18"/>
        </w:rPr>
        <w:t xml:space="preserve">Sursa: Amenajamentul ocolului silvic și observații proprii (date simulate; ocolul nu este numit).</w:t>
      </w:r>
    </w:p>
    <w:p>
      <w:r>
        <w:t xml:space="preserve">În iunie 2025 au fost amplasate sistematic 36 de piețe de regenerare de 2 × 2 m, în nodurile unei rețele de 50 × 50 m (Figura 2). În fiecare piață au fost măsurate variabilele din Tabelul 3. Piețele au fost grupate în trei clase de acoperire a coronamentului: sub 70%, 70–85% și peste 85%. Diferențele dintre clase au fost testate cu ANOVA unifactorială, iar legătura dintre variabile cu coeficientul de corelație Pearson (α = 0,05).</w:t>
      </w:r>
    </w:p>
    <w:p>
      <w:pPr>
        <w:keepNext/>
        <w:spacing w:after="60" w:before="160" w:line="240"/>
        <w:ind w:firstLine="0"/>
        <w:jc w:val="center"/>
      </w:pPr>
      <w:r>
        <w:drawing>
          <wp:inline distT="0" distB="0" distL="0" distR="0">
            <wp:extent cx="5762625" cy="2009775"/>
            <wp:effectExtent t="0" r="0" b="0" l="0"/>
            <wp:docPr id="2" name="Figura 2" descr="Etapele cercetării de teren" title="Etapele cercetării de t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Etapele cercetării de teren</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3.</w:t>
      </w:r>
      <w:r>
        <w:rPr>
          <w:sz w:val="22"/>
          <w:szCs w:val="22"/>
        </w:rPr>
        <w:t xml:space="preserve"> Variabilele măsurate în piețele de regenerare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915"/>
        <w:gridCol w:w="4535"/>
        <w:gridCol w:w="1619"/>
      </w:tblGrid>
      <w:tr>
        <w:trPr>
          <w:tblHeader/>
        </w:trPr>
        <w:tc>
          <w:tcPr>
            <w:tcW w:type="dxa" w:w="291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Variabila</w:t>
            </w:r>
          </w:p>
        </w:tc>
        <w:tc>
          <w:tcPr>
            <w:tcW w:type="dxa" w:w="453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Instrumentul / metoda</w:t>
            </w:r>
          </w:p>
        </w:tc>
        <w:tc>
          <w:tcPr>
            <w:tcW w:type="dxa" w:w="161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Unitatea</w:t>
            </w:r>
          </w:p>
        </w:tc>
      </w:tr>
      <w:tr>
        <w:trPr>
          <w:cantSplit/>
        </w:trPr>
        <w:tc>
          <w:tcPr>
            <w:tcW w:type="dxa" w:w="29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Acoperirea coronamentului</w:t>
            </w:r>
          </w:p>
        </w:tc>
        <w:tc>
          <w:tcPr>
            <w:tcW w:type="dxa" w:w="45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Densiometru sferic, 4 citiri pe punct cardinal</w:t>
            </w:r>
          </w:p>
        </w:tc>
        <w:tc>
          <w:tcPr>
            <w:tcW w:type="dxa" w:w="16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r>
      <w:tr>
        <w:trPr>
          <w:cantSplit/>
        </w:trPr>
        <w:tc>
          <w:tcPr>
            <w:tcW w:type="dxa" w:w="29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Lumina relativă</w:t>
            </w:r>
          </w:p>
        </w:tc>
        <w:tc>
          <w:tcPr>
            <w:tcW w:type="dxa" w:w="45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Senzor de lumină: valoarea sub arboret raportată la valoarea din teren deschis, măsurate simultan</w:t>
            </w:r>
          </w:p>
        </w:tc>
        <w:tc>
          <w:tcPr>
            <w:tcW w:type="dxa" w:w="161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r>
      <w:tr>
        <w:trPr>
          <w:cantSplit/>
        </w:trPr>
        <w:tc>
          <w:tcPr>
            <w:tcW w:type="dxa" w:w="29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Desimea semințișului</w:t>
            </w:r>
          </w:p>
        </w:tc>
        <w:tc>
          <w:tcPr>
            <w:tcW w:type="dxa" w:w="45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Numărarea puieților pe specii într-o piață de 2 × 2 m</w:t>
            </w:r>
          </w:p>
        </w:tc>
        <w:tc>
          <w:tcPr>
            <w:tcW w:type="dxa" w:w="16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ex./m²</w:t>
            </w:r>
          </w:p>
        </w:tc>
      </w:tr>
      <w:tr>
        <w:trPr>
          <w:cantSplit/>
        </w:trPr>
        <w:tc>
          <w:tcPr>
            <w:tcW w:type="dxa" w:w="29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Înălțimea puieților</w:t>
            </w:r>
          </w:p>
        </w:tc>
        <w:tc>
          <w:tcPr>
            <w:tcW w:type="dxa" w:w="45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Riglă gradată, pe trei clase de înălțime</w:t>
            </w:r>
          </w:p>
        </w:tc>
        <w:tc>
          <w:tcPr>
            <w:tcW w:type="dxa" w:w="161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cm</w:t>
            </w:r>
          </w:p>
        </w:tc>
      </w:tr>
    </w:tbl>
    <w:p>
      <w:pPr>
        <w:spacing w:after="200" w:before="40" w:line="240"/>
        <w:ind w:firstLine="0"/>
        <w:jc w:val="left"/>
      </w:pPr>
      <w:commentRangeStart w:id="9"/>
      <w:r>
        <w:rPr>
          <w:i/>
          <w:iCs/>
          <w:color w:val="7A8191"/>
          <w:sz w:val="18"/>
          <w:szCs w:val="18"/>
        </w:rPr>
        <w:t xml:space="preserve">Sursa: Protocol propriu.</w:t>
      </w:r>
      <w:commentRangeEnd w:id="9"/>
      <w:r>
        <w:commentReference w:id="9"/>
      </w:r>
    </w:p>
    <w:p>
      <w:pPr>
        <w:pStyle w:val="Heading1"/>
        <w:pageBreakBefore/>
      </w:pPr>
      <w:commentRangeStart w:id="10"/>
      <w:r>
        <w:t xml:space="preserve">Capitolul 3. Rezultate și propuneri de gospodărire</w:t>
      </w:r>
      <w:commentRangeEnd w:id="10"/>
      <w:r>
        <w:commentReference w:id="10"/>
      </w:r>
    </w:p>
    <w:p>
      <w:pPr>
        <w:pStyle w:val="Heading2"/>
        <w:keepNext/>
      </w:pPr>
      <w:r>
        <w:t xml:space="preserve">3.1. Caracterizarea piețelor</w:t>
      </w:r>
    </w:p>
    <w:p>
      <w:r>
        <w:t xml:space="preserve">Acoperirea medie a coronamentului a fost de 76,0%, cu diferențe mari între ochiurile deschise de tăierea de însămânțare și zonele încă închise (abaterea standard 12,2). Desimea medie a semințișului a fost de 10,1 ex./m², adică peste 100.000 de puieți la hectar (Tabelul 4).</w:t>
      </w:r>
    </w:p>
    <w:p>
      <w:pPr>
        <w:keepNext/>
        <w:spacing w:after="80" w:before="200" w:line="260"/>
        <w:ind w:firstLine="0"/>
        <w:jc w:val="left"/>
      </w:pPr>
      <w:r>
        <w:rPr>
          <w:b/>
          <w:bCs/>
          <w:sz w:val="22"/>
          <w:szCs w:val="22"/>
        </w:rPr>
        <w:t xml:space="preserve">Tabelul 4.</w:t>
      </w:r>
      <w:r>
        <w:rPr>
          <w:sz w:val="22"/>
          <w:szCs w:val="22"/>
        </w:rPr>
        <w:t xml:space="preserve"> Statistica descriptivă a variabilelor măsurate (36 de piețe)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N</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Media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Abaterea standard</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Minim</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Maxim</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Acoperirea coronamentului (%)</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76,0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12,2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97</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Lumina relativă (%)</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36</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17,0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7,1</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3,1</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33,7</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Semințiș (ex./m²)</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10,1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4,8</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19,9</w:t>
            </w:r>
          </w:p>
        </w:tc>
      </w:tr>
    </w:tbl>
    <w:p>
      <w:pPr>
        <w:spacing w:after="200" w:before="40" w:line="240"/>
        <w:ind w:firstLine="0"/>
        <w:jc w:val="left"/>
      </w:pPr>
      <w:r>
        <w:rPr>
          <w:i/>
          <w:iCs/>
          <w:color w:val="7A8191"/>
          <w:sz w:val="18"/>
          <w:szCs w:val="18"/>
        </w:rPr>
        <w:t xml:space="preserve">Sursa: Prelucrare proprie pe baza datelor simulate.</w:t>
      </w:r>
    </w:p>
    <w:p>
      <w:pPr>
        <w:pStyle w:val="Heading2"/>
        <w:keepNext/>
      </w:pPr>
      <w:r>
        <w:t xml:space="preserve">3.2. Compoziția și structura semințișului</w:t>
      </w:r>
    </w:p>
    <w:p>
      <w:r>
        <w:t xml:space="preserve">Au fost inventariați 1.456 de puieți, dintre care 76,2% de fag (Tabelul 5). Peste jumătate dintre puieți (53,6%) au sub 10 cm, ceea ce arată că semințișul s-a instalat în ultimii ani, după tăierea de însămânțare, iar doar 10,6% depășesc 50 cm (Figura 3).</w:t>
      </w:r>
    </w:p>
    <w:p>
      <w:pPr>
        <w:keepNext/>
        <w:spacing w:after="80" w:before="200" w:line="260"/>
        <w:ind w:firstLine="0"/>
        <w:jc w:val="left"/>
      </w:pPr>
      <w:r>
        <w:rPr>
          <w:b/>
          <w:bCs/>
          <w:sz w:val="22"/>
          <w:szCs w:val="22"/>
        </w:rPr>
        <w:t xml:space="preserve">Tabelul 5.</w:t>
      </w:r>
      <w:r>
        <w:rPr>
          <w:sz w:val="22"/>
          <w:szCs w:val="22"/>
        </w:rPr>
        <w:t xml:space="preserve"> Structura semințișului pe specii și clase de înălțime (număr de puieți în cele 36 de piețe)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077"/>
        <w:gridCol w:w="1295"/>
        <w:gridCol w:w="1295"/>
        <w:gridCol w:w="1295"/>
        <w:gridCol w:w="1133"/>
        <w:gridCol w:w="971"/>
      </w:tblGrid>
      <w:tr>
        <w:trPr>
          <w:tblHeader/>
        </w:trPr>
        <w:tc>
          <w:tcPr>
            <w:tcW w:type="dxa" w:w="307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Specia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Sub 10 cm</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10–50 cm</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51–130 cm</w:t>
            </w:r>
          </w:p>
        </w:tc>
        <w:tc>
          <w:tcPr>
            <w:tcW w:type="dxa" w:w="113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Total</w:t>
            </w:r>
          </w:p>
        </w:tc>
        <w:tc>
          <w:tcPr>
            <w:tcW w:type="dxa" w:w="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w:t>
            </w:r>
          </w:p>
        </w:tc>
      </w:tr>
      <w:tr>
        <w:trPr>
          <w:cantSplit/>
        </w:trPr>
        <w:tc>
          <w:tcPr>
            <w:tcW w:type="dxa" w:w="30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Fag (</w:t>
            </w:r>
            <w:r>
              <w:rPr>
                <w:b w:val="false"/>
                <w:bCs w:val="false"/>
                <w:i/>
                <w:iCs/>
                <w:sz w:val="18"/>
                <w:szCs w:val="18"/>
              </w:rPr>
              <w:t xml:space="preserve">Fagus sylvatica</w:t>
            </w:r>
            <w:r>
              <w:rPr>
                <w:b w:val="false"/>
                <w:bCs w:val="false"/>
                <w:sz w:val="18"/>
                <w:szCs w:val="18"/>
              </w:rPr>
              <w:t xml:space="preserve"> L.)</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610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402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98</w:t>
            </w:r>
          </w:p>
        </w:tc>
        <w:tc>
          <w:tcPr>
            <w:tcW w:type="dxa" w:w="1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1.110</w:t>
            </w:r>
          </w:p>
        </w:tc>
        <w:tc>
          <w:tcPr>
            <w:tcW w:type="dxa" w:w="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76,2</w:t>
            </w:r>
          </w:p>
        </w:tc>
      </w:tr>
      <w:tr>
        <w:trPr>
          <w:cantSplit/>
        </w:trPr>
        <w:tc>
          <w:tcPr>
            <w:tcW w:type="dxa" w:w="307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Paltin de munte (</w:t>
            </w:r>
            <w:r>
              <w:rPr>
                <w:b w:val="false"/>
                <w:bCs w:val="false"/>
                <w:i/>
                <w:iCs/>
                <w:sz w:val="18"/>
                <w:szCs w:val="18"/>
              </w:rPr>
              <w:t xml:space="preserve">Acer pseudoplatanus</w:t>
            </w:r>
            <w:r>
              <w:rPr>
                <w:b w:val="false"/>
                <w:bCs w:val="false"/>
                <w:sz w:val="18"/>
                <w:szCs w:val="18"/>
              </w:rPr>
              <w:t xml:space="preserve"> L.)</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92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61</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27</w:t>
            </w:r>
          </w:p>
        </w:tc>
        <w:tc>
          <w:tcPr>
            <w:tcW w:type="dxa" w:w="11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180</w:t>
            </w:r>
          </w:p>
        </w:tc>
        <w:tc>
          <w:tcPr>
            <w:tcW w:type="dxa" w:w="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12,4</w:t>
            </w:r>
          </w:p>
        </w:tc>
      </w:tr>
      <w:tr>
        <w:trPr>
          <w:cantSplit/>
        </w:trPr>
        <w:tc>
          <w:tcPr>
            <w:tcW w:type="dxa" w:w="30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Carpen (</w:t>
            </w:r>
            <w:r>
              <w:rPr>
                <w:b w:val="false"/>
                <w:bCs w:val="false"/>
                <w:i/>
                <w:iCs/>
                <w:sz w:val="18"/>
                <w:szCs w:val="18"/>
              </w:rPr>
              <w:t xml:space="preserve">Carpinus betulus</w:t>
            </w:r>
            <w:r>
              <w:rPr>
                <w:b w:val="false"/>
                <w:bCs w:val="false"/>
                <w:sz w:val="18"/>
                <w:szCs w:val="18"/>
              </w:rPr>
              <w:t xml:space="preserve"> L.)</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58</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44</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22</w:t>
            </w:r>
          </w:p>
        </w:tc>
        <w:tc>
          <w:tcPr>
            <w:tcW w:type="dxa" w:w="1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124</w:t>
            </w:r>
          </w:p>
        </w:tc>
        <w:tc>
          <w:tcPr>
            <w:tcW w:type="dxa" w:w="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8,5</w:t>
            </w:r>
          </w:p>
        </w:tc>
      </w:tr>
      <w:tr>
        <w:trPr>
          <w:cantSplit/>
        </w:trPr>
        <w:tc>
          <w:tcPr>
            <w:tcW w:type="dxa" w:w="307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Alte specii (frasin, cireș)</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w:t>
            </w:r>
          </w:p>
        </w:tc>
        <w:tc>
          <w:tcPr>
            <w:tcW w:type="dxa" w:w="11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42</w:t>
            </w:r>
          </w:p>
        </w:tc>
        <w:tc>
          <w:tcPr>
            <w:tcW w:type="dxa" w:w="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2,9</w:t>
            </w:r>
          </w:p>
        </w:tc>
      </w:tr>
      <w:tr>
        <w:trPr>
          <w:cantSplit/>
        </w:trPr>
        <w:tc>
          <w:tcPr>
            <w:tcW w:type="dxa" w:w="30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Total</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780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522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154</w:t>
            </w:r>
          </w:p>
        </w:tc>
        <w:tc>
          <w:tcPr>
            <w:tcW w:type="dxa" w:w="1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1.456</w:t>
            </w:r>
          </w:p>
        </w:tc>
        <w:tc>
          <w:tcPr>
            <w:tcW w:type="dxa" w:w="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100,0</w:t>
            </w:r>
          </w:p>
        </w:tc>
      </w:tr>
    </w:tbl>
    <w:p>
      <w:pPr>
        <w:keepNext/>
        <w:spacing w:after="0" w:before="60" w:line="240"/>
        <w:ind w:firstLine="0"/>
        <w:jc w:val="left"/>
      </w:pPr>
      <w:r>
        <w:rPr>
          <w:i/>
          <w:iCs/>
          <w:sz w:val="18"/>
          <w:szCs w:val="18"/>
        </w:rPr>
        <w:t xml:space="preserve">Notă.</w:t>
      </w:r>
      <w:r>
        <w:rPr>
          <w:sz w:val="18"/>
          <w:szCs w:val="18"/>
        </w:rPr>
        <w:t xml:space="preserve"> Total puieți = desimea medie (Tabelul de statistică descriptivă) × 144 m² inventariați (36 de piețe × 4 m²), cu rotunjire.</w:t>
      </w:r>
    </w:p>
    <w:p>
      <w:pPr>
        <w:spacing w:after="200" w:before="40" w:line="240"/>
        <w:ind w:firstLine="0"/>
        <w:jc w:val="left"/>
      </w:pPr>
      <w:r>
        <w:rPr>
          <w:i/>
          <w:iCs/>
          <w:color w:val="7A8191"/>
          <w:sz w:val="18"/>
          <w:szCs w:val="18"/>
        </w:rPr>
        <w:t xml:space="preserve">Sursa: Inventar propriu de teren (date simulate).</w:t>
      </w:r>
    </w:p>
    <w:p>
      <w:pPr>
        <w:keepNext/>
        <w:spacing w:after="60" w:before="160" w:line="240"/>
        <w:ind w:firstLine="0"/>
        <w:jc w:val="center"/>
      </w:pPr>
      <w:r>
        <w:drawing>
          <wp:inline distT="0" distB="0" distL="0" distR="0">
            <wp:extent cx="5762625" cy="2381250"/>
            <wp:effectExtent t="0" r="0" b="0" l="0"/>
            <wp:docPr id="3" name="Figura 3" descr="Numărul de puieți pe specii și clase de înălțime" title="Numărul de puieți pe specii și clase de înălț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38125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Numărul de puieți pe specii și clase de înălțime</w:t>
      </w:r>
    </w:p>
    <w:p>
      <w:pPr>
        <w:spacing w:after="200" w:line="240"/>
        <w:ind w:firstLine="0"/>
        <w:jc w:val="center"/>
      </w:pPr>
      <w:r>
        <w:rPr>
          <w:i/>
          <w:iCs/>
          <w:color w:val="7A8191"/>
          <w:sz w:val="18"/>
          <w:szCs w:val="18"/>
        </w:rPr>
        <w:t xml:space="preserve">Sursa: Prelucrare proprie.</w:t>
      </w:r>
    </w:p>
    <w:p>
      <w:pPr>
        <w:pStyle w:val="Heading2"/>
        <w:keepNext/>
      </w:pPr>
      <w:r>
        <w:t xml:space="preserve">3.3. Semințișul în funcție de acoperirea coronamentului</w:t>
      </w:r>
    </w:p>
    <w:p>
      <w:r>
        <w:t xml:space="preserve">Desimea semințișului diferă semnificativ între clasele de acoperire, </w:t>
      </w:r>
      <w:r>
        <w:rPr>
          <w:i/>
          <w:iCs/>
        </w:rPr>
        <w:t xml:space="preserve">F</w:t>
      </w:r>
      <w:r>
        <w:t xml:space="preserve">(2, 33) = 13,25, </w:t>
      </w:r>
      <w:r>
        <w:rPr>
          <w:i/>
          <w:iCs/>
        </w:rPr>
        <w:t xml:space="preserve">p</w:t>
      </w:r>
      <w:r>
        <w:t xml:space="preserve"> &lt; 0,001, η² = 0,45. Media scade de la 13,63 ex./m² sub 70% acoperire la 5,63 ex./m² peste 85% (Tabelul 6, Figura 4). Ipoteza se confirmă.</w:t>
      </w:r>
    </w:p>
    <w:p>
      <w:pPr>
        <w:keepNext/>
        <w:spacing w:after="80" w:before="200" w:line="260"/>
        <w:ind w:firstLine="0"/>
        <w:jc w:val="left"/>
      </w:pPr>
      <w:r>
        <w:rPr>
          <w:b/>
          <w:bCs/>
          <w:sz w:val="22"/>
          <w:szCs w:val="22"/>
        </w:rPr>
        <w:t xml:space="preserve">Tabelul 6.</w:t>
      </w:r>
      <w:r>
        <w:rPr>
          <w:sz w:val="22"/>
          <w:szCs w:val="22"/>
        </w:rPr>
        <w:t xml:space="preserve"> Desimea semințișului pe clase de acoperire a coronamentului (ex./m²)</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Clasa de acoperire</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Media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Abaterea standard</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Sub 70%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13</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13,63</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4,00</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70–85%</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13</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10,03</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2,66</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Peste 85%</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5,63</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4,40</w:t>
            </w:r>
          </w:p>
        </w:tc>
      </w:tr>
    </w:tbl>
    <w:p>
      <w:pPr>
        <w:keepNext/>
        <w:spacing w:after="0" w:before="60" w:line="240"/>
        <w:ind w:firstLine="0"/>
        <w:jc w:val="left"/>
      </w:pPr>
      <w:r>
        <w:rPr>
          <w:i/>
          <w:iCs/>
          <w:sz w:val="18"/>
          <w:szCs w:val="18"/>
        </w:rPr>
        <w:t xml:space="preserve">Notă.</w:t>
      </w:r>
      <w:r>
        <w:rPr>
          <w:sz w:val="18"/>
          <w:szCs w:val="18"/>
        </w:rPr>
        <w:t xml:space="preserve"> F(2, 33) = 13,25, p &lt; 0,001, η² = 0,45</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305425" cy="2466975"/>
            <wp:effectExtent t="0" r="0" b="0" l="0"/>
            <wp:docPr id="4" name="Figura 4" descr="Desimea semințișului pe clase de acoperire a coronamentului" title="Desimea semințișului pe clase de acoperire a coronament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305425" cy="246697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Desimea semințișului pe clase de acoperire a coronamentului</w:t>
      </w:r>
    </w:p>
    <w:p>
      <w:pPr>
        <w:spacing w:after="200" w:line="240"/>
        <w:ind w:firstLine="0"/>
        <w:jc w:val="center"/>
      </w:pPr>
      <w:r>
        <w:rPr>
          <w:i/>
          <w:iCs/>
          <w:color w:val="7A8191"/>
          <w:sz w:val="18"/>
          <w:szCs w:val="18"/>
        </w:rPr>
        <w:t xml:space="preserve">Sursa: Prelucrare proprie.</w:t>
      </w:r>
    </w:p>
    <w:p>
      <w:r>
        <w:t xml:space="preserve">Lumina relativă este puternic corelată negativ cu acoperirea coronamentului, </w:t>
      </w:r>
      <w:r>
        <w:rPr>
          <w:i/>
          <w:iCs/>
        </w:rPr>
        <w:t xml:space="preserve">r</w:t>
      </w:r>
      <w:r>
        <w:t xml:space="preserve"> = −0,88, iar desimea semințișului este corelată pozitiv cu lumina, </w:t>
      </w:r>
      <w:r>
        <w:rPr>
          <w:i/>
          <w:iCs/>
        </w:rPr>
        <w:t xml:space="preserve">r</w:t>
      </w:r>
      <w:r>
        <w:t xml:space="preserve"> = 0,66, </w:t>
      </w:r>
      <w:r>
        <w:rPr>
          <w:i/>
          <w:iCs/>
        </w:rPr>
        <w:t xml:space="preserve">p</w:t>
      </w:r>
      <w:r>
        <w:t xml:space="preserve"> &lt; 0,001 (Tabelul 7, Figura 5).</w:t>
      </w:r>
    </w:p>
    <w:p>
      <w:pPr>
        <w:keepNext/>
        <w:spacing w:after="80" w:before="200" w:line="260"/>
        <w:ind w:firstLine="0"/>
        <w:jc w:val="left"/>
      </w:pPr>
      <w:r>
        <w:rPr>
          <w:b/>
          <w:bCs/>
          <w:sz w:val="22"/>
          <w:szCs w:val="22"/>
        </w:rPr>
        <w:t xml:space="preserve">Tabelul 7.</w:t>
      </w:r>
      <w:r>
        <w:rPr>
          <w:sz w:val="22"/>
          <w:szCs w:val="22"/>
        </w:rPr>
        <w:t xml:space="preserve"> Corelațiile dintre acoperirea coronamentului, lumina relativă și desimea semințișului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Variabila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1</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2</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3</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 Acoperirea coronamentului (%)</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 Lumina relativă (%)</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−0,88**</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 Semințiș (ex./m²)</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−0,66**</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0,66**</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r>
    </w:tbl>
    <w:p>
      <w:pPr>
        <w:keepNext/>
        <w:spacing w:after="0" w:before="60" w:line="240"/>
        <w:ind w:firstLine="0"/>
        <w:jc w:val="left"/>
      </w:pPr>
      <w:r>
        <w:rPr>
          <w:i/>
          <w:iCs/>
          <w:sz w:val="18"/>
          <w:szCs w:val="18"/>
        </w:rPr>
        <w:t xml:space="preserve">Notă.</w:t>
      </w:r>
      <w:r>
        <w:rPr>
          <w:sz w:val="18"/>
          <w:szCs w:val="18"/>
        </w:rPr>
        <w:t xml:space="preserve"> N = 36. * p &lt; 0,05; ** p &lt; 0,01.</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305425" cy="2466975"/>
            <wp:effectExtent t="0" r="0" b="0" l="0"/>
            <wp:docPr id="5" name="Figura 5" descr="Desimea semințișului în funcție de lumina relativă (36 de piețe)" title="Desimea semințișului în funcție de lumina relativă (36 de pieț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305425" cy="2466975"/>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Desimea semințișului în funcție de lumina relativă (36 de piețe)</w:t>
      </w:r>
    </w:p>
    <w:p>
      <w:pPr>
        <w:spacing w:after="200" w:line="240"/>
        <w:ind w:firstLine="0"/>
        <w:jc w:val="center"/>
      </w:pPr>
      <w:r>
        <w:rPr>
          <w:i/>
          <w:iCs/>
          <w:color w:val="7A8191"/>
          <w:sz w:val="18"/>
          <w:szCs w:val="18"/>
        </w:rPr>
        <w:t xml:space="preserve">Sursa: Prelucrare proprie.</w:t>
      </w:r>
    </w:p>
    <w:p>
      <w:r>
        <w:t xml:space="preserve">Pe clase, lumina relativă medie scade de la 23,6% sub 70% acoperire la 16,5% între 70 și 85% și la numai 9,0% peste 85% (Figura 6).</w:t>
      </w:r>
    </w:p>
    <w:p>
      <w:pPr>
        <w:keepNext/>
        <w:spacing w:after="60" w:before="160" w:line="240"/>
        <w:ind w:firstLine="0"/>
        <w:jc w:val="center"/>
      </w:pPr>
      <w:r>
        <w:drawing>
          <wp:inline distT="0" distB="0" distL="0" distR="0">
            <wp:extent cx="4933950" cy="2105025"/>
            <wp:effectExtent t="0" r="0" b="0" l="0"/>
            <wp:docPr id="6" name="Figura 6" descr="Lumina relativă medie pe clase de acoperire a coronamentului (%)" title="Lumina relativă medie pe clase de acoperire a coronamentulu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933950" cy="2105025"/>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Lumina relativă medie pe clase de acoperire a coronamentului (%)</w:t>
      </w:r>
    </w:p>
    <w:p>
      <w:pPr>
        <w:spacing w:after="200" w:line="240"/>
        <w:ind w:firstLine="0"/>
        <w:jc w:val="center"/>
      </w:pPr>
      <w:commentRangeStart w:id="11"/>
      <w:r>
        <w:rPr>
          <w:i/>
          <w:iCs/>
          <w:color w:val="7A8191"/>
          <w:sz w:val="18"/>
          <w:szCs w:val="18"/>
        </w:rPr>
        <w:t xml:space="preserve">Sursa: Prelucrare proprie pe baza datelor simulate.</w:t>
      </w:r>
      <w:commentRangeEnd w:id="11"/>
      <w:r>
        <w:commentReference w:id="11"/>
      </w:r>
    </w:p>
    <w:p>
      <w:pPr>
        <w:pStyle w:val="Heading2"/>
        <w:keepNext/>
      </w:pPr>
      <w:r>
        <w:t xml:space="preserve">3.4. Măsuri silviculturale propuse</w:t>
      </w:r>
    </w:p>
    <w:p>
      <w:r>
        <w:rPr>
          <w:b/>
          <w:bCs/>
        </w:rPr>
        <w:t xml:space="preserve">În opinia noastră</w:t>
      </w:r>
      <w:r>
        <w:t xml:space="preserve">, arboretul are un potențial bun de regenerare, dar distribuția semințișului este neuniformă: în zonele cu coronament închis regenerarea stagnează, iar în cele rărite semințișul este amenințat de mur. Propunem măsuri diferențiate pe zone (Tabelul 8), eșalonate în următorii cinci ani (Figura 7). Măsura prioritară este lărgirea ochiurilor din zonele cu acoperire peste 85%, unde lumina relativă este în medie de numai 9%.</w:t>
      </w:r>
    </w:p>
    <w:p>
      <w:pPr>
        <w:keepNext/>
        <w:spacing w:after="80" w:before="200" w:line="260"/>
        <w:ind w:firstLine="0"/>
        <w:jc w:val="left"/>
      </w:pPr>
      <w:r>
        <w:rPr>
          <w:b/>
          <w:bCs/>
          <w:sz w:val="22"/>
          <w:szCs w:val="22"/>
        </w:rPr>
        <w:t xml:space="preserve">Tabelul 8.</w:t>
      </w:r>
      <w:r>
        <w:rPr>
          <w:sz w:val="22"/>
          <w:szCs w:val="22"/>
        </w:rPr>
        <w:t xml:space="preserve"> Măsurile silviculturale propuse, pe zone ale arboretului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700"/>
        <w:gridCol w:w="2834"/>
        <w:gridCol w:w="3401"/>
        <w:gridCol w:w="1133"/>
      </w:tblGrid>
      <w:tr>
        <w:trPr>
          <w:tblHeader/>
        </w:trPr>
        <w:tc>
          <w:tcPr>
            <w:tcW w:type="dxa" w:w="170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Zona</w:t>
            </w:r>
          </w:p>
        </w:tc>
        <w:tc>
          <w:tcPr>
            <w:tcW w:type="dxa" w:w="283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Situația constatată</w:t>
            </w:r>
          </w:p>
        </w:tc>
        <w:tc>
          <w:tcPr>
            <w:tcW w:type="dxa" w:w="340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Măsura propusă</w:t>
            </w:r>
          </w:p>
        </w:tc>
        <w:tc>
          <w:tcPr>
            <w:tcW w:type="dxa" w:w="113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Termen</w:t>
            </w:r>
          </w:p>
        </w:tc>
      </w:tr>
      <w:tr>
        <w:trPr>
          <w:cantSplit/>
        </w:trPr>
        <w:tc>
          <w:tcPr>
            <w:tcW w:type="dxa" w:w="170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Acoperire peste 85%</w:t>
            </w:r>
          </w:p>
        </w:tc>
        <w:tc>
          <w:tcPr>
            <w:tcW w:type="dxa" w:w="283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Semințiș rar, puieți sub 10 cm, lumină relativă medie de 9%</w:t>
            </w:r>
          </w:p>
        </w:tc>
        <w:tc>
          <w:tcPr>
            <w:tcW w:type="dxa" w:w="34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Tăiere de punere în lumină: lărgirea ochiurilor existente cu 1/2 din înălțimea arborilor</w:t>
            </w:r>
          </w:p>
        </w:tc>
        <w:tc>
          <w:tcPr>
            <w:tcW w:type="dxa" w:w="1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2027</w:t>
            </w:r>
          </w:p>
        </w:tc>
      </w:tr>
      <w:tr>
        <w:trPr>
          <w:cantSplit/>
        </w:trPr>
        <w:tc>
          <w:tcPr>
            <w:tcW w:type="dxa" w:w="170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Acoperire 70–85%</w:t>
            </w:r>
          </w:p>
        </w:tc>
        <w:tc>
          <w:tcPr>
            <w:tcW w:type="dxa" w:w="283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Semințiș instalat, dar cu creștere lentă</w:t>
            </w:r>
          </w:p>
        </w:tc>
        <w:tc>
          <w:tcPr>
            <w:tcW w:type="dxa" w:w="34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Extracții treptate de arbori din jurul ochiurilor, la 3–4 ani</w:t>
            </w:r>
          </w:p>
        </w:tc>
        <w:tc>
          <w:tcPr>
            <w:tcW w:type="dxa" w:w="11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2027–2031</w:t>
            </w:r>
          </w:p>
        </w:tc>
      </w:tr>
      <w:tr>
        <w:trPr>
          <w:cantSplit/>
        </w:trPr>
        <w:tc>
          <w:tcPr>
            <w:tcW w:type="dxa" w:w="170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Acoperire sub 70%</w:t>
            </w:r>
          </w:p>
        </w:tc>
        <w:tc>
          <w:tcPr>
            <w:tcW w:type="dxa" w:w="283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Semințiș abundent, concurența murului</w:t>
            </w:r>
          </w:p>
        </w:tc>
        <w:tc>
          <w:tcPr>
            <w:tcW w:type="dxa" w:w="34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Descopleșiri anuale până la depășirea vegetației concurente</w:t>
            </w:r>
          </w:p>
        </w:tc>
        <w:tc>
          <w:tcPr>
            <w:tcW w:type="dxa" w:w="1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2026–2028</w:t>
            </w:r>
          </w:p>
        </w:tc>
      </w:tr>
      <w:tr>
        <w:trPr>
          <w:cantSplit/>
        </w:trPr>
        <w:tc>
          <w:tcPr>
            <w:tcW w:type="dxa" w:w="170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 arboretul</w:t>
            </w:r>
          </w:p>
        </w:tc>
        <w:tc>
          <w:tcPr>
            <w:tcW w:type="dxa" w:w="283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Ros de vânat pe 1/4 din piețe</w:t>
            </w:r>
          </w:p>
        </w:tc>
        <w:tc>
          <w:tcPr>
            <w:tcW w:type="dxa" w:w="34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Monitorizarea rosului; împrejmuire locală dacă depășește 1/3 din puieți</w:t>
            </w:r>
          </w:p>
        </w:tc>
        <w:tc>
          <w:tcPr>
            <w:tcW w:type="dxa" w:w="11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anual</w:t>
            </w:r>
          </w:p>
        </w:tc>
      </w:tr>
    </w:tbl>
    <w:p>
      <w:pPr>
        <w:spacing w:after="200" w:before="40" w:line="240"/>
        <w:ind w:firstLine="0"/>
        <w:jc w:val="left"/>
      </w:pPr>
      <w:r>
        <w:rPr>
          <w:i/>
          <w:iCs/>
          <w:color w:val="7A8191"/>
          <w:sz w:val="18"/>
          <w:szCs w:val="18"/>
        </w:rPr>
        <w:t xml:space="preserve">Sursa: Propunere proprie a autorului.</w:t>
      </w:r>
    </w:p>
    <w:p>
      <w:pPr>
        <w:keepNext/>
        <w:spacing w:after="60" w:before="160" w:line="240"/>
        <w:ind w:firstLine="0"/>
        <w:jc w:val="center"/>
      </w:pPr>
      <w:r>
        <w:drawing>
          <wp:inline distT="0" distB="0" distL="0" distR="0">
            <wp:extent cx="5762625" cy="1828800"/>
            <wp:effectExtent t="0" r="0" b="0" l="0"/>
            <wp:docPr id="7" name="Figura 7" descr="Calendarul măsurilor propuse" title="Calendarul măsurilor prop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62625" cy="1828800"/>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Calendarul măsurilor propuse</w:t>
      </w:r>
    </w:p>
    <w:p>
      <w:pPr>
        <w:spacing w:after="200" w:line="240"/>
        <w:ind w:firstLine="0"/>
        <w:jc w:val="center"/>
      </w:pPr>
      <w:r>
        <w:rPr>
          <w:i/>
          <w:iCs/>
          <w:color w:val="7A8191"/>
          <w:sz w:val="18"/>
          <w:szCs w:val="18"/>
        </w:rPr>
        <w:t xml:space="preserve">Sursa: Prelucrare proprie.</w:t>
      </w:r>
    </w:p>
    <w:p>
      <w:pPr>
        <w:pStyle w:val="Heading1"/>
        <w:pageBreakBefore/>
      </w:pPr>
      <w:commentRangeStart w:id="12"/>
      <w:r>
        <w:t xml:space="preserve">Concluzii</w:t>
      </w:r>
      <w:commentRangeEnd w:id="12"/>
      <w:r>
        <w:commentReference w:id="12"/>
      </w:r>
    </w:p>
    <w:p>
      <w:pPr>
        <w:tabs>
          <w:tab w:val="left" w:pos="709"/>
        </w:tabs>
        <w:spacing w:after="60"/>
        <w:ind w:left="709" w:hanging="357" w:firstLine="0"/>
        <w:jc w:val="left"/>
      </w:pPr>
      <w:r>
        <w:t xml:space="preserve">•	</w:t>
      </w:r>
      <w:r>
        <w:t xml:space="preserve">În cele 36 de piețe au fost inventariați 1.456 de puieți; fagul reprezintă 76,2%, iar majoritatea puieților au sub 10 cm (obiectivul 1).</w:t>
      </w:r>
    </w:p>
    <w:p>
      <w:pPr>
        <w:tabs>
          <w:tab w:val="left" w:pos="709"/>
        </w:tabs>
        <w:spacing w:after="60"/>
        <w:ind w:left="709" w:hanging="357" w:firstLine="0"/>
        <w:jc w:val="left"/>
      </w:pPr>
      <w:r>
        <w:t xml:space="preserve">•	</w:t>
      </w:r>
      <w:r>
        <w:t xml:space="preserve">Desimea semințișului scade semnificativ odată cu acoperirea coronamentului, de la 13,63 ex./m² sub 70% la 5,63 ex./m² peste 85%; ipoteza se confirmă (obiectivul 2).</w:t>
      </w:r>
    </w:p>
    <w:p>
      <w:pPr>
        <w:tabs>
          <w:tab w:val="left" w:pos="709"/>
        </w:tabs>
        <w:spacing w:after="60"/>
        <w:ind w:left="709" w:hanging="357" w:firstLine="0"/>
        <w:jc w:val="left"/>
      </w:pPr>
      <w:r>
        <w:t xml:space="preserve">•	</w:t>
      </w:r>
      <w:r>
        <w:t xml:space="preserve">Lumina relativă este legătura dintre cele două: scade puternic cu acoperirea și este corelată pozitiv cu desimea semințișului.</w:t>
      </w:r>
    </w:p>
    <w:p>
      <w:pPr>
        <w:tabs>
          <w:tab w:val="left" w:pos="709"/>
        </w:tabs>
        <w:spacing w:after="60"/>
        <w:ind w:left="709" w:hanging="357" w:firstLine="0"/>
        <w:jc w:val="left"/>
      </w:pPr>
      <w:r>
        <w:t xml:space="preserve">•	</w:t>
      </w:r>
      <w:r>
        <w:t xml:space="preserve">Măsurile propuse sunt diferențiate pe zone: lărgirea ochiurilor unde coronamentul este închis și descopleșiri unde semințișul este abundent (obiectivul 3).</w:t>
      </w:r>
    </w:p>
    <w:p>
      <w:r>
        <w:rPr>
          <w:b/>
          <w:bCs/>
        </w:rPr>
        <w:t xml:space="preserve">Limite:</w:t>
      </w:r>
      <w:r>
        <w:t xml:space="preserve"> o singură campanie de măsurători și piețe mici, de 4 m². </w:t>
      </w:r>
      <w:r>
        <w:rPr>
          <w:b/>
          <w:bCs/>
        </w:rPr>
        <w:t xml:space="preserve">Direcții viitoare:</w:t>
      </w:r>
      <w:r>
        <w:t xml:space="preserve"> reinventarierea acelorași piețe după aplicarea măsurilor și urmărirea creșterii în înălțime.</w:t>
      </w:r>
    </w:p>
    <w:p>
      <w:pPr>
        <w:pStyle w:val="Heading1"/>
        <w:pageBreakBefore/>
      </w:pPr>
      <w:commentRangeStart w:id="13"/>
      <w:r>
        <w:t xml:space="preserve">Bibliografie</w:t>
      </w:r>
      <w:commentRangeEnd w:id="13"/>
      <w:r>
        <w:commentReference w:id="13"/>
      </w:r>
    </w:p>
    <w:p>
      <w:pPr>
        <w:spacing w:after="100" w:line="300"/>
        <w:ind w:left="709" w:hanging="709" w:firstLine="0"/>
        <w:jc w:val="left"/>
      </w:pPr>
      <w:r>
        <w:t xml:space="preserve">Ilie, D. (2022). Lumina relativă și dinamica semințișului de fag după tăierile de însămânțare. </w:t>
      </w:r>
      <w:r>
        <w:rPr>
          <w:i/>
          <w:iCs/>
        </w:rPr>
        <w:t xml:space="preserve">Revista de Silvicultură Aplicată, 11</w:t>
      </w:r>
      <w:r>
        <w:t xml:space="preserve">(2), 27–40.</w:t>
      </w:r>
    </w:p>
    <w:p>
      <w:pPr>
        <w:spacing w:after="100" w:line="300"/>
        <w:ind w:left="709" w:hanging="709" w:firstLine="0"/>
        <w:jc w:val="left"/>
      </w:pPr>
      <w:r>
        <w:t xml:space="preserve">Neagu, V. (2019). </w:t>
      </w:r>
      <w:r>
        <w:rPr>
          <w:i/>
          <w:iCs/>
        </w:rPr>
        <w:t xml:space="preserve">Regenerarea naturală a pădurilor</w:t>
      </w:r>
      <w:r>
        <w:t xml:space="preserve">. Editura Exemplu.</w:t>
      </w:r>
    </w:p>
    <w:p>
      <w:pPr>
        <w:spacing w:after="100" w:line="300"/>
        <w:ind w:left="709" w:hanging="709" w:firstLine="0"/>
        <w:jc w:val="left"/>
      </w:pPr>
      <w:r>
        <w:t xml:space="preserve">Pop, A., &amp; Stan, M. (2021). Tratamente cu regenerare sub adăpostul masivului în făgete. </w:t>
      </w:r>
      <w:r>
        <w:rPr>
          <w:i/>
          <w:iCs/>
        </w:rPr>
        <w:t xml:space="preserve">Studii Forestiere, 7</w:t>
      </w:r>
      <w:r>
        <w:t xml:space="preserve">(1), 15–31.</w:t>
      </w:r>
    </w:p>
    <w:p>
      <w:pPr>
        <w:spacing w:after="100" w:line="300"/>
        <w:ind w:left="709" w:hanging="709" w:firstLine="0"/>
        <w:jc w:val="left"/>
      </w:pPr>
      <w:r>
        <w:t xml:space="preserve">Toma, C. (2020). </w:t>
      </w:r>
      <w:r>
        <w:rPr>
          <w:i/>
          <w:iCs/>
        </w:rPr>
        <w:t xml:space="preserve">Statistică aplicată în cercetarea forestieră</w:t>
      </w:r>
      <w:r>
        <w:t xml:space="preserve">. Editura Exemplu.</w:t>
      </w:r>
    </w:p>
    <w:p>
      <w:pPr>
        <w:pStyle w:val="Heading1"/>
        <w:pageBreakBefore/>
      </w:pPr>
      <w:commentRangeStart w:id="14"/>
      <w:r>
        <w:t xml:space="preserve">Anexa 1. Fișa de teren pentru o piață de regenerare</w:t>
      </w:r>
      <w:commentRangeEnd w:id="14"/>
      <w:r>
        <w:commentReference w:id="14"/>
      </w:r>
    </w:p>
    <w:p>
      <w:pPr>
        <w:tabs>
          <w:tab w:val="left" w:pos="709"/>
        </w:tabs>
        <w:spacing w:after="60"/>
        <w:ind w:left="709" w:hanging="357" w:firstLine="0"/>
        <w:jc w:val="left"/>
      </w:pPr>
      <w:r>
        <w:t xml:space="preserve">1.	</w:t>
      </w:r>
      <w:r>
        <w:t xml:space="preserve">Numărul pieței, coordonatele GPS, data și ora.</w:t>
      </w:r>
    </w:p>
    <w:p>
      <w:pPr>
        <w:tabs>
          <w:tab w:val="left" w:pos="709"/>
        </w:tabs>
        <w:spacing w:after="60"/>
        <w:ind w:left="709" w:hanging="357" w:firstLine="0"/>
        <w:jc w:val="left"/>
      </w:pPr>
      <w:r>
        <w:t xml:space="preserve">2.	</w:t>
      </w:r>
      <w:r>
        <w:t xml:space="preserve">Acoperirea coronamentului: 4 citiri cu densiometrul (N, E, S, V) și media.</w:t>
      </w:r>
    </w:p>
    <w:p>
      <w:pPr>
        <w:tabs>
          <w:tab w:val="left" w:pos="709"/>
        </w:tabs>
        <w:spacing w:after="60"/>
        <w:ind w:left="709" w:hanging="357" w:firstLine="0"/>
        <w:jc w:val="left"/>
      </w:pPr>
      <w:r>
        <w:t xml:space="preserve">3.	</w:t>
      </w:r>
      <w:r>
        <w:t xml:space="preserve">Lumina: valoarea sub arboret și valoarea din teren deschis, măsurate simultan.</w:t>
      </w:r>
    </w:p>
    <w:p>
      <w:pPr>
        <w:tabs>
          <w:tab w:val="left" w:pos="709"/>
        </w:tabs>
        <w:spacing w:after="60"/>
        <w:ind w:left="709" w:hanging="357" w:firstLine="0"/>
        <w:jc w:val="left"/>
      </w:pPr>
      <w:r>
        <w:t xml:space="preserve">4.	</w:t>
      </w:r>
      <w:r>
        <w:t xml:space="preserve">Puieții pe specii și clase de înălțime (sub 10 cm, 10–50 cm, 51–130 cm).</w:t>
      </w:r>
    </w:p>
    <w:p>
      <w:pPr>
        <w:tabs>
          <w:tab w:val="left" w:pos="709"/>
        </w:tabs>
        <w:spacing w:after="60"/>
        <w:ind w:left="709" w:hanging="357" w:firstLine="0"/>
        <w:jc w:val="left"/>
      </w:pPr>
      <w:r>
        <w:t xml:space="preserve">5.	</w:t>
      </w:r>
      <w:r>
        <w:t xml:space="preserve">Observații: vegetație concurentă (% acoperire), ros de vânat, grosimea litierei.</w:t>
      </w:r>
    </w:p>
    <w:p>
      <w:pPr>
        <w:pStyle w:val="Heading1"/>
        <w:pageBreakBefore/>
      </w:pPr>
      <w:commentRangeStart w:id="15"/>
      <w:r>
        <w:t xml:space="preserve">Bonus: același paragraf, înainte și după corectare</w:t>
      </w:r>
      <w:commentRangeEnd w:id="15"/>
      <w:r>
        <w:commentReference w:id="15"/>
      </w:r>
    </w:p>
    <w:p>
      <w:r>
        <w:t xml:space="preserve">Fragmentul de mai jos este scris intenționat cu greșelile pe care le întâlnim des în lucrările de Silvicultură.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In padure am gasit multi puieti de fag, mai ales unde e lumina. Unde padurea e deasa nu prea sunt puieti, deci trebuie taiati copacii ca sa vina lumina. Am observat si alte specii dar mai putine.</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În cele 36 de piețe au fost inventariați 1.456 de puieți, dintre care 76,2% de fag (</w:t>
      </w:r>
      <w:r>
        <w:rPr>
          <w:i/>
          <w:iCs/>
        </w:rPr>
        <w:t xml:space="preserve">Fagus sylvatica</w:t>
      </w:r>
      <w:r>
        <w:t xml:space="preserve"> L.) (Tabelul 5). Desimea semințișului scade semnificativ odată cu acoperirea coronamentului, de la 13,63 ex./m² sub 70% la 5,63 ex./m² peste 85% (Tabelul 6). De aceea, în zonele cu coronament închis propunem lărgirea treptată a ochiurilor existente, nu extracții uniforme pe toată suprafața (Tabelul 8).</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lucrare.</w:t>
      </w:r>
    </w:p>
    <w:p>
      <w:pPr>
        <w:tabs>
          <w:tab w:val="left" w:pos="709"/>
        </w:tabs>
        <w:spacing w:after="60"/>
        <w:ind w:left="709" w:hanging="357" w:firstLine="0"/>
        <w:jc w:val="left"/>
      </w:pPr>
      <w:r>
        <w:t xml:space="preserve">2.	</w:t>
      </w:r>
      <w:r>
        <w:t xml:space="preserve">„Mulți puieți” a devenit un număr, o desime (ex./m²) și o comparație testată statistic.</w:t>
      </w:r>
    </w:p>
    <w:p>
      <w:pPr>
        <w:tabs>
          <w:tab w:val="left" w:pos="709"/>
        </w:tabs>
        <w:spacing w:after="60"/>
        <w:ind w:left="709" w:hanging="357" w:firstLine="0"/>
        <w:jc w:val="left"/>
      </w:pPr>
      <w:r>
        <w:t xml:space="preserve">3.	</w:t>
      </w:r>
      <w:r>
        <w:t xml:space="preserve">„Pădurea e deasă” a devenit termenul de specialitate: acoperirea coronamentului, măsurată în procente.</w:t>
      </w:r>
    </w:p>
    <w:p>
      <w:pPr>
        <w:tabs>
          <w:tab w:val="left" w:pos="709"/>
        </w:tabs>
        <w:spacing w:after="60"/>
        <w:ind w:left="709" w:hanging="357" w:firstLine="0"/>
        <w:jc w:val="left"/>
      </w:pPr>
      <w:r>
        <w:t xml:space="preserve">4.	</w:t>
      </w:r>
      <w:r>
        <w:t xml:space="preserve">„Trebuie tăiați copacii” a devenit o măsură silviculturală precisă și localizată.</w:t>
      </w:r>
    </w:p>
    <w:p>
      <w:pPr>
        <w:tabs>
          <w:tab w:val="left" w:pos="709"/>
        </w:tabs>
        <w:spacing w:after="60"/>
        <w:ind w:left="709" w:hanging="357" w:firstLine="0"/>
        <w:jc w:val="left"/>
      </w:pPr>
      <w:r>
        <w:t xml:space="preserve">5.	</w:t>
      </w:r>
      <w:r>
        <w:t xml:space="preserve">Specia este dată și cu denumirea științifică, iar fiecare afirmație trimite la un tabel.</w:t>
      </w:r>
    </w:p>
    <w:p>
      <w:pPr>
        <w:spacing w:before="360"/>
        <w:ind w:firstLine="0"/>
        <w:jc w:val="left"/>
      </w:pPr>
      <w:r>
        <w:rPr>
          <w:b/>
          <w:bCs/>
        </w:rPr>
        <w:t xml:space="preserve">Vrei aceeași corectare pentru lucrarea ta? </w:t>
      </w:r>
      <w:hyperlink w:history="1" r:id="rIdlpmdp56qi7ckvg3ozxdzi">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mu6r26wgxuwzfpkuy_zs7">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r8cyvl_dluj_mapti9cux">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la Silvicultură prezintă arboretul studiat (ocol, unitate de producție, unitate amenajistică), problema, obiectivele și metodele. Aici datele sunt simulate, iar ocolul nu este numit.</w:t>
      </w:r>
    </w:p>
    <w:p>
      <w:r>
        <w:rPr>
          <w:rFonts w:ascii="Arial" w:cs="Arial" w:eastAsia="Arial" w:hAnsi="Arial"/>
          <w:b/>
          <w:bCs/>
          <w:sz w:val="16"/>
          <w:szCs w:val="16"/>
        </w:rPr>
        <w:t xml:space="preserve">Ghid: </w:t>
      </w:r>
      <w:hyperlink w:history="1" r:id="rIdmsy8q96eqsnuvxstxvjuf">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O ipoteză bună de Silvicultură se poate verifica direct cu măsurătorile din piețe: „semințișul este mai des la acoperire mai mică” se testează cu ANOVA; „arboretul se regenerează greu” nu.</w:t>
      </w:r>
    </w:p>
    <w:p>
      <w:r>
        <w:rPr>
          <w:rFonts w:ascii="Arial" w:cs="Arial" w:eastAsia="Arial" w:hAnsi="Arial"/>
          <w:b/>
          <w:bCs/>
          <w:sz w:val="16"/>
          <w:szCs w:val="16"/>
        </w:rPr>
        <w:t xml:space="preserve">Ghid: </w:t>
      </w:r>
      <w:hyperlink w:history="1" r:id="rIdqvfuvtgipaybcebpeikx9">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teoretic prezintă doar ce îți trebuie pentru interpretare: factorii regenerării și tratamentele aplicate în făgete. Speciile se scriu cu denumirea științifică (latină), cursiv, la prima apariție.</w:t>
      </w:r>
    </w:p>
    <w:p>
      <w:r>
        <w:rPr>
          <w:rFonts w:ascii="Arial" w:cs="Arial" w:eastAsia="Arial" w:hAnsi="Arial"/>
          <w:b/>
          <w:bCs/>
          <w:sz w:val="16"/>
          <w:szCs w:val="16"/>
        </w:rPr>
        <w:t xml:space="preserve">Ghid: </w:t>
      </w:r>
      <w:hyperlink w:history="1" r:id="rIdgafp4bnqnlqacpsbqjm9_">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copia din amenajament descrierea întregului ocol silvic. Prezintă doar unitatea amenajistică studiată și datele care influențează regenerarea: compoziția, vârsta, consistența, solul, tratamentul.</w:t>
      </w:r>
    </w:p>
  </w:comment>
  <w:comment w:id="8" w:initials="LR" w:author="Rolul secțiunii" w:date="2026-05-20T10:00:00.000Z">
    <w:p>
      <w:r>
        <w:rPr>
          <w:sz w:val="18"/>
          <w:szCs w:val="18"/>
        </w:rPr>
        <w:t xml:space="preserve">Metodologia trebuie să permită repetarea studiului: unde ai amplasat piețele, ce și cum ai măsurat, când, cu ce instrumente și ce teste statistice ai folosit.</w:t>
      </w:r>
    </w:p>
  </w:comment>
  <w:comment w:id="9" w:initials="LR" w:author="Sfat" w:date="2026-05-20T10:00:00.000Z">
    <w:p>
      <w:r>
        <w:rPr>
          <w:sz w:val="18"/>
          <w:szCs w:val="18"/>
        </w:rPr>
        <w:t xml:space="preserve">Notează coordonatele GPS ale fiecărei piețe și marchează-le pe teren. Astfel, inventarul poate fi repetat peste câțiva ani, iar lucrarea ta devine punctul de plecare pentru o serie de date.</w:t>
      </w:r>
    </w:p>
  </w:comment>
  <w:comment w:id="10" w:initials="LR" w:author="Rolul secțiunii" w:date="2026-05-20T10:00:00.000Z">
    <w:p>
      <w:r>
        <w:rPr>
          <w:sz w:val="18"/>
          <w:szCs w:val="18"/>
        </w:rPr>
        <w:t xml:space="preserve">Acesta este capitolul de rezultate și contribuția ta personală: datele de teren, prelucrate statistic și interpretate silvicultural, apoi măsurile pe care le propui pe baza lor.</w:t>
      </w:r>
    </w:p>
  </w:comment>
  <w:comment w:id="11" w:initials="LR" w:author="Greșeală frecventă" w:date="2026-05-20T10:00:00.000Z">
    <w:p>
      <w:r>
        <w:rPr>
          <w:sz w:val="18"/>
          <w:szCs w:val="18"/>
        </w:rPr>
        <w:t xml:space="preserve">O corelație nu dovedește singură cauza. Aici legătura cu lumina este plauzibilă și susținută de literatură, dar piețele mai luminoase pot diferi și prin sol sau prin distanța față de arborii seminceri; spune asta în discuție.</w:t>
      </w:r>
    </w:p>
  </w:comment>
  <w:comment w:id="12" w:initials="LR" w:author="Rolul secțiunii" w:date="2026-05-20T10:00:00.000Z">
    <w:p>
      <w:r>
        <w:rPr>
          <w:sz w:val="18"/>
          <w:szCs w:val="18"/>
        </w:rPr>
        <w:t xml:space="preserve">Concluziile răspund la obiective și la ipoteză, apoi formulează recomandări de gospodărire. Nu adăuga date noi.</w:t>
      </w:r>
    </w:p>
    <w:p>
      <w:r>
        <w:rPr>
          <w:rFonts w:ascii="Arial" w:cs="Arial" w:eastAsia="Arial" w:hAnsi="Arial"/>
          <w:b/>
          <w:bCs/>
          <w:sz w:val="16"/>
          <w:szCs w:val="16"/>
        </w:rPr>
        <w:t xml:space="preserve">Ghid: </w:t>
      </w:r>
      <w:hyperlink w:history="1" r:id="rIdmxufoxjgc9weravdojsgu">
        <w:r>
          <w:rPr>
            <w:rFonts w:ascii="Arial" w:cs="Arial" w:eastAsia="Arial" w:hAnsi="Arial"/>
            <w:color w:val="4B7A5E"/>
            <w:sz w:val="16"/>
            <w:szCs w:val="16"/>
            <w:u w:val="single"/>
          </w:rPr>
          <w:t xml:space="preserve">licenta-disertatie-romania.com/blog/concluzii-lucrare-licenta/</w:t>
        </w:r>
      </w:hyperlink>
    </w:p>
  </w:comment>
  <w:comment w:id="13" w:initials="LR" w:author="Rolul secțiunii" w:date="2026-05-20T10:00:00.000Z">
    <w:p>
      <w:r>
        <w:rPr>
          <w:sz w:val="18"/>
          <w:szCs w:val="18"/>
        </w:rPr>
        <w:t xml:space="preserve">Bibliografia este în stil APA 7, ordonată alfabetic. Toate sursele de mai jos sunt generice, inventate pentru acest exemplu. În lucrarea ta citezi amenajamentul ocolului silvic, normele tehnice în vigoare și literatura de specialitate pe care ai consultat-o.</w:t>
      </w:r>
    </w:p>
    <w:p>
      <w:r>
        <w:rPr>
          <w:rFonts w:ascii="Arial" w:cs="Arial" w:eastAsia="Arial" w:hAnsi="Arial"/>
          <w:b/>
          <w:bCs/>
          <w:sz w:val="16"/>
          <w:szCs w:val="16"/>
        </w:rPr>
        <w:t xml:space="preserve">Ghid: </w:t>
      </w:r>
      <w:hyperlink w:history="1" r:id="rId4tqf46kawk0sdipxlrvje">
        <w:r>
          <w:rPr>
            <w:rFonts w:ascii="Arial" w:cs="Arial" w:eastAsia="Arial" w:hAnsi="Arial"/>
            <w:color w:val="4B7A5E"/>
            <w:sz w:val="16"/>
            <w:szCs w:val="16"/>
            <w:u w:val="single"/>
          </w:rPr>
          <w:t xml:space="preserve">licenta-disertatie-romania.com/resurse/generator-citare-apa/</w:t>
        </w:r>
      </w:hyperlink>
    </w:p>
  </w:comment>
  <w:comment w:id="14" w:initials="LR" w:author="Rolul secțiunii" w:date="2026-05-20T10:00:00.000Z">
    <w:p>
      <w:r>
        <w:rPr>
          <w:sz w:val="18"/>
          <w:szCs w:val="18"/>
        </w:rPr>
        <w:t xml:space="preserve">În anexă pui fișa de teren și, în lucrarea reală, tabelul cu datele brute din toate piețele. Comisia vede astfel că rezultatele provin din măsurători proprii.</w:t>
      </w:r>
    </w:p>
  </w:comment>
  <w:comment w:id="15"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ljjuvq_un6yp1zpq_fwpq">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9pu63skzbim-ew4f1gng4">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ejkxysleo5qf5iuocausa">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mu6r26wgxuwzfpkuy_zs7" Type="http://schemas.openxmlformats.org/officeDocument/2006/relationships/hyperlink" Target="https://licenta-disertatie-romania.com/blog/cuprins-lucrare-licenta/" TargetMode="External"/><Relationship Id="rIdr8cyvl_dluj_mapti9cux" Type="http://schemas.openxmlformats.org/officeDocument/2006/relationships/hyperlink" Target="https://licenta-disertatie-romania.com/blog/formatare-lucrare-licenta/" TargetMode="External"/><Relationship Id="rIdmsy8q96eqsnuvxstxvjuf" Type="http://schemas.openxmlformats.org/officeDocument/2006/relationships/hyperlink" Target="https://licenta-disertatie-romania.com/blog/introducere-lucrare-licenta/" TargetMode="External"/><Relationship Id="rIdqvfuvtgipaybcebpeikx9" Type="http://schemas.openxmlformats.org/officeDocument/2006/relationships/hyperlink" Target="https://licenta-disertatie-romania.com/blog/ipoteze-obiective-lucrare-licenta/" TargetMode="External"/><Relationship Id="rIdgafp4bnqnlqacpsbqjm9_" Type="http://schemas.openxmlformats.org/officeDocument/2006/relationships/hyperlink" Target="https://licenta-disertatie-romania.com/blog/structura-lucrare-licenta/" TargetMode="External"/><Relationship Id="rIdmxufoxjgc9weravdojsgu" Type="http://schemas.openxmlformats.org/officeDocument/2006/relationships/hyperlink" Target="https://licenta-disertatie-romania.com/blog/concluzii-lucrare-licenta/" TargetMode="External"/><Relationship Id="rId4tqf46kawk0sdipxlrvje" Type="http://schemas.openxmlformats.org/officeDocument/2006/relationships/hyperlink" Target="https://licenta-disertatie-romania.com/resurse/generator-citare-apa/" TargetMode="External"/><Relationship Id="rIdljjuvq_un6yp1zpq_fwpq"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lpmdp56qi7ckvg3ozxdzi" Type="http://schemas.openxmlformats.org/officeDocument/2006/relationships/hyperlink" Target="https://licenta-disertatie-romania.com/contact/" TargetMode="External"/><Relationship Id="rId10" Type="http://schemas.openxmlformats.org/officeDocument/2006/relationships/image" Target="media/0a1f80eee3d48cca21b71416fb5175b30a54806a.png"/><Relationship Id="rId11" Type="http://schemas.openxmlformats.org/officeDocument/2006/relationships/image" Target="media/c6047c6f0799b7c014119d9338fbf07b6c3c4471.png"/><Relationship Id="rId12" Type="http://schemas.openxmlformats.org/officeDocument/2006/relationships/image" Target="media/d28c3f3640565dedf001b93542cdd40d37bfab9a.png"/><Relationship Id="rId13" Type="http://schemas.openxmlformats.org/officeDocument/2006/relationships/image" Target="media/251f6c3a345af481cbb8acc8d7280a5a7797702a.png"/><Relationship Id="rId14" Type="http://schemas.openxmlformats.org/officeDocument/2006/relationships/image" Target="media/f2512975dbf106387d4cac5d137446fef4f19a6b.png"/><Relationship Id="rId15" Type="http://schemas.openxmlformats.org/officeDocument/2006/relationships/image" Target="media/f30a95d0ae9add8cca61d8613d062cf14f10957d.png"/><Relationship Id="rId16" Type="http://schemas.openxmlformats.org/officeDocument/2006/relationships/image" Target="media/b6855dc7a15061b2646ac9b0ce32250719a8a650.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pu63skzbim-ew4f1gng4"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ejkxysleo5qf5iuocausa"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Silvicultură</dc:title>
  <dc:creator>Licenta RO</dc:creator>
  <dc:description>Exemplu fictiv cu date simulate: licenta-disertatie-romania.com</dc:description>
  <cp:lastModifiedBy>Un-named</cp:lastModifiedBy>
  <cp:revision>1</cp:revision>
  <dcterms:created xsi:type="dcterms:W3CDTF">2026-10-05T20:23:57.593Z</dcterms:created>
  <dcterms:modified xsi:type="dcterms:W3CDTF">2026-10-05T20:23:57.594Z</dcterms:modified>
</cp:coreProperties>
</file>

<file path=docProps/custom.xml><?xml version="1.0" encoding="utf-8"?>
<Properties xmlns="http://schemas.openxmlformats.org/officeDocument/2006/custom-properties" xmlns:vt="http://schemas.openxmlformats.org/officeDocument/2006/docPropsVTypes"/>
</file>