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ȘTIINȚE POLITICE</w:t>
      </w:r>
    </w:p>
    <w:p>
      <w:pPr>
        <w:spacing w:after="0" w:before="60"/>
        <w:ind w:firstLine="0"/>
        <w:jc w:val="center"/>
      </w:pPr>
      <w:r>
        <w:rPr>
          <w:b w:val="false"/>
          <w:bCs w:val="false"/>
          <w:i w:val="false"/>
          <w:iCs w:val="false"/>
        </w:rPr>
        <w:t xml:space="preserve">Programul de studii: Relații internaționale și studii europene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Poziția României față de războiul din Ucraina: analiza discursului oficial</w:t>
      </w:r>
    </w:p>
    <w:p>
      <w:pPr>
        <w:spacing w:after="0" w:before="120"/>
        <w:ind w:firstLine="0"/>
        <w:jc w:val="center"/>
      </w:pPr>
      <w:r>
        <w:rPr>
          <w:b w:val="false"/>
          <w:bCs w:val="false"/>
          <w:i/>
          <w:iCs/>
          <w:sz w:val="24"/>
          <w:szCs w:val="24"/>
        </w:rPr>
        <w:t xml:space="preserve">Analiză tematică și lexicală a unui corpus de declarații oficiale, 2022–2025 (corpus fictiv)</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Conf. univ. dr. Ana-Maria Radu (nume fictiv)</w:t>
      </w:r>
    </w:p>
    <w:p>
      <w:pPr>
        <w:spacing w:before="300"/>
        <w:ind w:firstLine="0"/>
        <w:jc w:val="right"/>
      </w:pPr>
      <w:r>
        <w:rPr>
          <w:b/>
          <w:bCs/>
        </w:rPr>
        <w:t xml:space="preserve">Absolvent:</w:t>
      </w:r>
    </w:p>
    <w:p>
      <w:pPr>
        <w:ind w:firstLine="0"/>
        <w:jc w:val="right"/>
      </w:pPr>
      <w:r>
        <w:t xml:space="preserve">Vlad Ionescu (nume fictiv)</w:t>
      </w:r>
    </w:p>
    <w:p>
      <w:pPr>
        <w:spacing w:after="0" w:before="1800"/>
        <w:ind w:firstLine="0"/>
        <w:jc w:val="center"/>
      </w:pPr>
      <w:r>
        <w:rPr>
          <w:b/>
          <w:bCs/>
          <w:i w:val="false"/>
          <w:iCs w:val="false"/>
        </w:rPr>
        <w:t xml:space="preserve">IAȘI,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Vlad Ionescu</w:t>
      </w:r>
      <w:r>
        <w:t xml:space="preserve">, absolvent(ă) al(a) programului de studii Relații internaționale și studii europene, declar pe propria răspundere că lucrarea de licență cu titlul „Poziția României față de războiul din Ucraina: analiza discursului oficial”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Cadrul teoretic: securitate, instituții și identitate</w:t>
      </w:r>
      <w:r>
        <w:t xml:space="preserve">	7</w:t>
      </w:r>
    </w:p>
    <w:p>
      <w:pPr>
        <w:tabs>
          <w:tab w:val="right" w:pos="9026" w:leader="dot"/>
        </w:tabs>
        <w:spacing w:after="40" w:line="300"/>
        <w:ind w:left="400" w:firstLine="0"/>
        <w:jc w:val="left"/>
      </w:pPr>
      <w:r>
        <w:rPr>
          <w:b w:val="false"/>
          <w:bCs w:val="false"/>
        </w:rPr>
        <w:t xml:space="preserve">1.1. Patru perspective asupra politicii externe</w:t>
      </w:r>
      <w:r>
        <w:t xml:space="preserve">	7</w:t>
      </w:r>
    </w:p>
    <w:p>
      <w:pPr>
        <w:tabs>
          <w:tab w:val="right" w:pos="9026" w:leader="dot"/>
        </w:tabs>
        <w:spacing w:after="40" w:line="300"/>
        <w:ind w:left="400" w:firstLine="0"/>
        <w:jc w:val="left"/>
      </w:pPr>
      <w:r>
        <w:rPr>
          <w:b w:val="false"/>
          <w:bCs w:val="false"/>
        </w:rPr>
        <w:t xml:space="preserve">1.2. Securitizarea</w:t>
      </w:r>
      <w:r>
        <w:t xml:space="preserve">	7</w:t>
      </w:r>
    </w:p>
    <w:p>
      <w:pPr>
        <w:tabs>
          <w:tab w:val="right" w:pos="9026" w:leader="dot"/>
        </w:tabs>
        <w:spacing w:after="40" w:line="300"/>
        <w:ind w:left="0" w:firstLine="0"/>
        <w:jc w:val="left"/>
      </w:pPr>
      <w:r>
        <w:rPr>
          <w:b/>
          <w:bCs/>
        </w:rPr>
        <w:t xml:space="preserve">Capitolul 2. Contextul și metodologia cercetării</w:t>
      </w:r>
      <w:r>
        <w:t xml:space="preserve">	8</w:t>
      </w:r>
    </w:p>
    <w:p>
      <w:pPr>
        <w:tabs>
          <w:tab w:val="right" w:pos="9026" w:leader="dot"/>
        </w:tabs>
        <w:spacing w:after="40" w:line="300"/>
        <w:ind w:left="400" w:firstLine="0"/>
        <w:jc w:val="left"/>
      </w:pPr>
      <w:r>
        <w:rPr>
          <w:b w:val="false"/>
          <w:bCs w:val="false"/>
        </w:rPr>
        <w:t xml:space="preserve">2.1. Contextul internațional</w:t>
      </w:r>
      <w:r>
        <w:t xml:space="preserve">	8</w:t>
      </w:r>
    </w:p>
    <w:p>
      <w:pPr>
        <w:tabs>
          <w:tab w:val="right" w:pos="9026" w:leader="dot"/>
        </w:tabs>
        <w:spacing w:after="40" w:line="300"/>
        <w:ind w:left="400" w:firstLine="0"/>
        <w:jc w:val="left"/>
      </w:pPr>
      <w:r>
        <w:rPr>
          <w:b w:val="false"/>
          <w:bCs w:val="false"/>
        </w:rPr>
        <w:t xml:space="preserve">2.2. Corpusul și procedura de analiză</w:t>
      </w:r>
      <w:r>
        <w:t xml:space="preserve">	8</w:t>
      </w:r>
    </w:p>
    <w:p>
      <w:pPr>
        <w:tabs>
          <w:tab w:val="right" w:pos="9026" w:leader="dot"/>
        </w:tabs>
        <w:spacing w:after="40" w:line="300"/>
        <w:ind w:left="0" w:firstLine="0"/>
        <w:jc w:val="left"/>
      </w:pPr>
      <w:r>
        <w:rPr>
          <w:b/>
          <w:bCs/>
        </w:rPr>
        <w:t xml:space="preserve">Capitolul 3. Analiza discursului oficial (2022–2025)</w:t>
      </w:r>
      <w:r>
        <w:t xml:space="preserve">	10</w:t>
      </w:r>
    </w:p>
    <w:p>
      <w:pPr>
        <w:tabs>
          <w:tab w:val="right" w:pos="9026" w:leader="dot"/>
        </w:tabs>
        <w:spacing w:after="40" w:line="300"/>
        <w:ind w:left="400" w:firstLine="0"/>
        <w:jc w:val="left"/>
      </w:pPr>
      <w:r>
        <w:rPr>
          <w:b w:val="false"/>
          <w:bCs w:val="false"/>
        </w:rPr>
        <w:t xml:space="preserve">3.1. Temele discursului</w:t>
      </w:r>
      <w:r>
        <w:t xml:space="preserve">	10</w:t>
      </w:r>
    </w:p>
    <w:p>
      <w:pPr>
        <w:tabs>
          <w:tab w:val="right" w:pos="9026" w:leader="dot"/>
        </w:tabs>
        <w:spacing w:after="40" w:line="300"/>
        <w:ind w:left="400" w:firstLine="0"/>
        <w:jc w:val="left"/>
      </w:pPr>
      <w:r>
        <w:rPr>
          <w:b w:val="false"/>
          <w:bCs w:val="false"/>
        </w:rPr>
        <w:t xml:space="preserve">3.2. Evoluția termenilor-cheie</w:t>
      </w:r>
      <w:r>
        <w:t xml:space="preserve">	10</w:t>
      </w:r>
    </w:p>
    <w:p>
      <w:pPr>
        <w:tabs>
          <w:tab w:val="right" w:pos="9026" w:leader="dot"/>
        </w:tabs>
        <w:spacing w:after="40" w:line="300"/>
        <w:ind w:left="400" w:firstLine="0"/>
        <w:jc w:val="left"/>
      </w:pPr>
      <w:r>
        <w:rPr>
          <w:b w:val="false"/>
          <w:bCs w:val="false"/>
        </w:rPr>
        <w:t xml:space="preserve">3.3. Actorii menționați</w:t>
      </w:r>
      <w:r>
        <w:t xml:space="preserve">	11</w:t>
      </w:r>
    </w:p>
    <w:p>
      <w:pPr>
        <w:tabs>
          <w:tab w:val="right" w:pos="9026" w:leader="dot"/>
        </w:tabs>
        <w:spacing w:after="40" w:line="300"/>
        <w:ind w:left="400" w:firstLine="0"/>
        <w:jc w:val="left"/>
      </w:pPr>
      <w:r>
        <w:rPr>
          <w:b w:val="false"/>
          <w:bCs w:val="false"/>
        </w:rPr>
        <w:t xml:space="preserve">3.4. Strategii discursive</w:t>
      </w:r>
      <w:r>
        <w:t xml:space="preserve">	12</w:t>
      </w:r>
    </w:p>
    <w:p>
      <w:pPr>
        <w:tabs>
          <w:tab w:val="right" w:pos="9026" w:leader="dot"/>
        </w:tabs>
        <w:spacing w:after="40" w:line="300"/>
        <w:ind w:left="400" w:firstLine="0"/>
        <w:jc w:val="left"/>
      </w:pPr>
      <w:r>
        <w:rPr>
          <w:b w:val="false"/>
          <w:bCs w:val="false"/>
        </w:rPr>
        <w:t xml:space="preserve">3.5. Interpretarea autorului</w:t>
      </w:r>
      <w:r>
        <w:t xml:space="preserve">	12</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Fișa de codificare a unei declarații</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Repere ale contextului internațional (2022)</w:t>
      </w:r>
      <w:r>
        <w:t xml:space="preserve">	8</w:t>
      </w:r>
    </w:p>
    <w:p>
      <w:pPr>
        <w:tabs>
          <w:tab w:val="right" w:pos="9026" w:leader="dot"/>
        </w:tabs>
        <w:spacing w:after="40" w:line="300"/>
        <w:ind w:left="0" w:firstLine="0"/>
        <w:jc w:val="left"/>
      </w:pPr>
      <w:r>
        <w:rPr>
          <w:b w:val="false"/>
          <w:bCs w:val="false"/>
        </w:rPr>
        <w:t xml:space="preserve">Figura 2. Declarațiile din corpus, pe tipuri de emitent</w:t>
      </w:r>
      <w:r>
        <w:t xml:space="preserve">	9</w:t>
      </w:r>
    </w:p>
    <w:p>
      <w:pPr>
        <w:tabs>
          <w:tab w:val="right" w:pos="9026" w:leader="dot"/>
        </w:tabs>
        <w:spacing w:after="40" w:line="300"/>
        <w:ind w:left="0" w:firstLine="0"/>
        <w:jc w:val="left"/>
      </w:pPr>
      <w:r>
        <w:rPr>
          <w:b w:val="false"/>
          <w:bCs w:val="false"/>
        </w:rPr>
        <w:t xml:space="preserve">Figura 3. Etapele analizei de discurs</w:t>
      </w:r>
      <w:r>
        <w:t xml:space="preserve">	9</w:t>
      </w:r>
    </w:p>
    <w:p>
      <w:pPr>
        <w:tabs>
          <w:tab w:val="right" w:pos="9026" w:leader="dot"/>
        </w:tabs>
        <w:spacing w:after="40" w:line="300"/>
        <w:ind w:left="0" w:firstLine="0"/>
        <w:jc w:val="left"/>
      </w:pPr>
      <w:r>
        <w:rPr>
          <w:b w:val="false"/>
          <w:bCs w:val="false"/>
        </w:rPr>
        <w:t xml:space="preserve">Figura 4. Temele identificate în corpus (% din declarații)</w:t>
      </w:r>
      <w:r>
        <w:t xml:space="preserve">	10</w:t>
      </w:r>
    </w:p>
    <w:p>
      <w:pPr>
        <w:tabs>
          <w:tab w:val="right" w:pos="9026" w:leader="dot"/>
        </w:tabs>
        <w:spacing w:after="40" w:line="300"/>
        <w:ind w:left="0" w:firstLine="0"/>
        <w:jc w:val="left"/>
      </w:pPr>
      <w:r>
        <w:rPr>
          <w:b w:val="false"/>
          <w:bCs w:val="false"/>
        </w:rPr>
        <w:t xml:space="preserve">Figura 5. Evoluția frecvenței a patru termeni-cheie, 2022–2025 (la 1 000 de cuvinte)</w:t>
      </w:r>
      <w:r>
        <w:t xml:space="preserve">	11</w:t>
      </w:r>
    </w:p>
    <w:p>
      <w:pPr>
        <w:tabs>
          <w:tab w:val="right" w:pos="9026" w:leader="dot"/>
        </w:tabs>
        <w:spacing w:after="40" w:line="300"/>
        <w:ind w:left="0" w:firstLine="0"/>
        <w:jc w:val="left"/>
      </w:pPr>
      <w:r>
        <w:rPr>
          <w:b w:val="false"/>
          <w:bCs w:val="false"/>
        </w:rPr>
        <w:t xml:space="preserve">Figura 6. Actorii menționați în declarații (% din corpus)</w:t>
      </w:r>
      <w:r>
        <w:t xml:space="preserve">	12</w:t>
      </w:r>
    </w:p>
    <w:p>
      <w:pPr>
        <w:tabs>
          <w:tab w:val="right" w:pos="9026" w:leader="dot"/>
        </w:tabs>
        <w:spacing w:after="40" w:line="300"/>
        <w:ind w:left="0" w:firstLine="0"/>
        <w:jc w:val="left"/>
      </w:pPr>
      <w:r>
        <w:rPr>
          <w:b w:val="false"/>
          <w:bCs w:val="false"/>
        </w:rPr>
        <w:t xml:space="preserve">Figura 7. Periodizarea discursului oficial propusă de autor</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Perspectivele teoretice folosite în analiză</w:t>
      </w:r>
      <w:r>
        <w:t xml:space="preserve">	7</w:t>
      </w:r>
    </w:p>
    <w:p>
      <w:pPr>
        <w:tabs>
          <w:tab w:val="right" w:pos="9026" w:leader="dot"/>
        </w:tabs>
        <w:spacing w:after="40" w:line="300"/>
        <w:ind w:left="0" w:firstLine="0"/>
        <w:jc w:val="left"/>
      </w:pPr>
      <w:r>
        <w:rPr>
          <w:b w:val="false"/>
          <w:bCs w:val="false"/>
        </w:rPr>
        <w:t xml:space="preserve">Tabelul 2. Structura corpusului, pe tipuri de emitent și ani (număr de declarații)</w:t>
      </w:r>
      <w:r>
        <w:t xml:space="preserve">	8</w:t>
      </w:r>
    </w:p>
    <w:p>
      <w:pPr>
        <w:tabs>
          <w:tab w:val="right" w:pos="9026" w:leader="dot"/>
        </w:tabs>
        <w:spacing w:after="40" w:line="300"/>
        <w:ind w:left="0" w:firstLine="0"/>
        <w:jc w:val="left"/>
      </w:pPr>
      <w:r>
        <w:rPr>
          <w:b w:val="false"/>
          <w:bCs w:val="false"/>
        </w:rPr>
        <w:t xml:space="preserve">Tabelul 3. Grila de codificare tematică (extras)</w:t>
      </w:r>
      <w:r>
        <w:t xml:space="preserve">	9</w:t>
      </w:r>
    </w:p>
    <w:p>
      <w:pPr>
        <w:tabs>
          <w:tab w:val="right" w:pos="9026" w:leader="dot"/>
        </w:tabs>
        <w:spacing w:after="40" w:line="300"/>
        <w:ind w:left="0" w:firstLine="0"/>
        <w:jc w:val="left"/>
      </w:pPr>
      <w:r>
        <w:rPr>
          <w:b w:val="false"/>
          <w:bCs w:val="false"/>
        </w:rPr>
        <w:t xml:space="preserve">Tabelul 4. Temele identificate în corpus (N = 60 de declarații)</w:t>
      </w:r>
      <w:r>
        <w:t xml:space="preserve">	10</w:t>
      </w:r>
    </w:p>
    <w:p>
      <w:pPr>
        <w:tabs>
          <w:tab w:val="right" w:pos="9026" w:leader="dot"/>
        </w:tabs>
        <w:spacing w:after="40" w:line="300"/>
        <w:ind w:left="0" w:firstLine="0"/>
        <w:jc w:val="left"/>
      </w:pPr>
      <w:r>
        <w:rPr>
          <w:b w:val="false"/>
          <w:bCs w:val="false"/>
        </w:rPr>
        <w:t xml:space="preserve">Tabelul 5. Frecvența termenilor-cheie, pe ani (apariții la 1 000 de cuvinte)</w:t>
      </w:r>
      <w:r>
        <w:t xml:space="preserve">	11</w:t>
      </w:r>
    </w:p>
    <w:p>
      <w:pPr>
        <w:tabs>
          <w:tab w:val="right" w:pos="9026" w:leader="dot"/>
        </w:tabs>
        <w:spacing w:after="40" w:line="300"/>
        <w:ind w:left="0" w:firstLine="0"/>
        <w:jc w:val="left"/>
      </w:pPr>
      <w:r>
        <w:rPr>
          <w:b w:val="false"/>
          <w:bCs w:val="false"/>
        </w:rPr>
        <w:t xml:space="preserve">Tabelul 6. Actorii internaționali menționați în declarații</w:t>
      </w:r>
      <w:r>
        <w:t xml:space="preserve">	11</w:t>
      </w:r>
    </w:p>
    <w:p>
      <w:pPr>
        <w:tabs>
          <w:tab w:val="right" w:pos="9026" w:leader="dot"/>
        </w:tabs>
        <w:spacing w:after="40" w:line="300"/>
        <w:ind w:left="0" w:firstLine="0"/>
        <w:jc w:val="left"/>
      </w:pPr>
      <w:r>
        <w:rPr>
          <w:b w:val="false"/>
          <w:bCs w:val="false"/>
        </w:rPr>
        <w:t xml:space="preserve">Tabelul 7. Fragmente codificate din corpus și strategia discursivă identificată</w:t>
      </w:r>
      <w:r>
        <w:t xml:space="preserve">	12</w:t>
      </w:r>
    </w:p>
    <w:p>
      <w:pPr>
        <w:tabs>
          <w:tab w:val="right" w:pos="9026" w:leader="dot"/>
        </w:tabs>
        <w:spacing w:after="40" w:line="300"/>
        <w:ind w:left="0" w:firstLine="0"/>
        <w:jc w:val="left"/>
      </w:pPr>
      <w:r>
        <w:rPr>
          <w:b w:val="false"/>
          <w:bCs w:val="false"/>
        </w:rPr>
        <w:t xml:space="preserve">Tabelul 8. Etapele discursului oficial propuse de autor</w:t>
      </w:r>
      <w:r>
        <w:t xml:space="preserve">	13</w:t>
      </w:r>
    </w:p>
    <w:p>
      <w:pPr>
        <w:pStyle w:val="Heading1"/>
        <w:pageBreakBefore/>
      </w:pPr>
      <w:commentRangeStart w:id="3"/>
      <w:r>
        <w:t xml:space="preserve">Rezumat</w:t>
      </w:r>
      <w:commentRangeEnd w:id="3"/>
      <w:r>
        <w:commentReference w:id="3"/>
      </w:r>
    </w:p>
    <w:p>
      <w:r>
        <w:t xml:space="preserve">Lucrarea analizează discursul oficial al României despre războiul din Ucraina în perioada 2022–2025. Pornind de la realism, liberalismul instituțional, constructivism și teoria securitizării, am aplicat o analiză tematică și lexicală pe un corpus de 60 de declarații oficiale. Corpusul folosit în acest exemplu este fictiv și are rol demonstrativ. Rezultatele arată că securitatea regională, sprijinul pentru Ucraina și dreptul internațional sunt temele dominante, iar poziția națională este formulată aproape mereu prin NATO și UE. În timp, frecvența termenilor „suveranitate” și „sprijin” scade, iar cea a termenilor „pace” și „reconstrucție” crește. Pe această bază, lucrarea propune o periodizare a discursului în trei etape: reacția imediată, consolidarea instituțională și perspectiva post-conflict.</w:t>
      </w:r>
    </w:p>
    <w:p>
      <w:pPr>
        <w:spacing w:after="400"/>
        <w:ind w:firstLine="0"/>
        <w:jc w:val="left"/>
      </w:pPr>
      <w:r>
        <w:rPr>
          <w:b/>
          <w:bCs/>
        </w:rPr>
        <w:t xml:space="preserve">Cuvinte-cheie:</w:t>
      </w:r>
      <w:r>
        <w:t xml:space="preserve"> politică externă, analiză de discurs, securitizare, România, Ucraina</w:t>
      </w:r>
    </w:p>
    <w:p>
      <w:pPr>
        <w:spacing w:after="200"/>
        <w:ind w:firstLine="0"/>
        <w:jc w:val="center"/>
      </w:pPr>
      <w:r>
        <w:rPr>
          <w:b/>
          <w:bCs/>
          <w:color w:val="16233F"/>
          <w:sz w:val="26"/>
          <w:szCs w:val="26"/>
        </w:rPr>
        <w:t xml:space="preserve">Abstract</w:t>
      </w:r>
    </w:p>
    <w:p>
      <w:r>
        <w:t xml:space="preserve">This thesis examines Romania's official discourse on the war in Ukraine between 2022 and 2025. Drawing on realism, institutional liberalism, constructivism and securitization theory, it applies thematic and lexical analysis to a corpus of 60 official statements. The corpus used in this example is fictional and serves a demonstrative purpose. The results show that regional security, support for Ukraine and international law are the dominant themes, and that the national position is almost always framed through NATO and the EU. Over time, the frequency of the terms “sovereignty” and “support” decreases, while that of “peace” and “reconstruction” increases. On this basis, the thesis proposes a three-stage periodisation of the discourse: immediate reaction, institutional consolidation and a post-conflict perspective.</w:t>
      </w:r>
    </w:p>
    <w:p>
      <w:pPr>
        <w:ind w:firstLine="0"/>
        <w:jc w:val="left"/>
      </w:pPr>
      <w:r>
        <w:rPr>
          <w:b/>
          <w:bCs/>
        </w:rPr>
        <w:t xml:space="preserve">Keywords:</w:t>
      </w:r>
      <w:r>
        <w:t xml:space="preserve"> foreign policy, discourse analysis, securitization, Romania, Ukraine</w:t>
      </w:r>
    </w:p>
    <w:p>
      <w:pPr>
        <w:pStyle w:val="Heading1"/>
        <w:pageBreakBefore/>
      </w:pPr>
      <w:commentRangeStart w:id="4"/>
      <w:r>
        <w:t xml:space="preserve">Introducere</w:t>
      </w:r>
      <w:commentRangeEnd w:id="4"/>
      <w:r>
        <w:commentReference w:id="4"/>
      </w:r>
    </w:p>
    <w:p>
      <w:r>
        <w:t xml:space="preserve">Invazia pe scară largă a Ucrainei de către Federația Rusă, începută la 24 februarie 2022, a schimbat contextul de securitate al statelor din Europa de Est. România, stat membru NATO și UE care are frontieră comună cu Ucraina, a trebuit să își exprime public poziția în mod repetat.</w:t>
      </w:r>
    </w:p>
    <w:p>
      <w:r>
        <w:rPr>
          <w:b/>
          <w:bCs/>
        </w:rPr>
        <w:t xml:space="preserve">Întrebarea de cercetare:</w:t>
      </w:r>
      <w:r>
        <w:t xml:space="preserve"> ce teme și ce actori domină discursul oficial al României despre războiul din Ucraina și cum se schimbă accentele între 2022 și 2025?</w:t>
      </w:r>
    </w:p>
    <w:p>
      <w:r>
        <w:rPr>
          <w:b/>
          <w:bCs/>
        </w:rPr>
        <w:t xml:space="preserve">Ipoteza:</w:t>
      </w:r>
      <w:r>
        <w:t xml:space="preserve"> accentul discursului se mută de la securitate și apărare (2022) spre cooperare instituțională și reconstrucție (2024–2025).</w:t>
      </w:r>
    </w:p>
    <w:p>
      <w:commentRangeStart w:id="5"/>
      <w:r>
        <w:rPr>
          <w:b/>
          <w:bCs/>
        </w:rPr>
        <w:t xml:space="preserve">Metoda</w:t>
      </w:r>
      <w:r>
        <w:t xml:space="preserve"> este analiza de discurs, cu o componentă tematică și una lexicală, aplicată pe un corpus de 60 de declarații oficiale. Corpusul folosit în acest exemplu este fictiv: declarațiile, fragmentele și frecvențele sunt construite pentru a arăta metoda.</w:t>
      </w:r>
      <w:commentRangeEnd w:id="5"/>
      <w:r>
        <w:commentReference w:id="5"/>
      </w:r>
    </w:p>
    <w:p>
      <w:pPr>
        <w:pStyle w:val="Heading1"/>
        <w:pageBreakBefore/>
      </w:pPr>
      <w:commentRangeStart w:id="6"/>
      <w:r>
        <w:t xml:space="preserve">Capitolul 1. Cadrul teoretic: securitate, instituții și identitate</w:t>
      </w:r>
      <w:commentRangeEnd w:id="6"/>
      <w:r>
        <w:commentReference w:id="6"/>
      </w:r>
    </w:p>
    <w:p>
      <w:pPr>
        <w:pStyle w:val="Heading2"/>
        <w:keepNext/>
      </w:pPr>
      <w:r>
        <w:t xml:space="preserve">1.1. Patru perspective asupra politicii externe</w:t>
      </w:r>
    </w:p>
    <w:p>
      <w:r>
        <w:t xml:space="preserve">Pentru realism, comportamentul statelor este explicat de structura anarhică a sistemului internațional și de distribuția puterii</w:t>
      </w:r>
      <w:r>
        <w:rPr>
          <w:rStyle w:val="FootnoteReference"/>
        </w:rPr>
        <w:footnoteReference w:id="1"/>
      </w:r>
      <w:r>
        <w:t xml:space="preserve">. Liberalismul instituțional subliniază rolul instituțiilor și al interdependenței</w:t>
      </w:r>
      <w:r>
        <w:rPr>
          <w:rStyle w:val="FootnoteReference"/>
        </w:rPr>
        <w:footnoteReference w:id="2"/>
      </w:r>
      <w:r>
        <w:t xml:space="preserve">, iar constructivismul arată că interesele statelor depind de identități și norme</w:t>
      </w:r>
      <w:r>
        <w:rPr>
          <w:rStyle w:val="FootnoteReference"/>
        </w:rPr>
        <w:footnoteReference w:id="3"/>
      </w:r>
      <w:r>
        <w:t xml:space="preserve"> (Tabelul 1).</w:t>
      </w:r>
    </w:p>
    <w:p>
      <w:pPr>
        <w:keepNext/>
        <w:spacing w:after="80" w:before="200" w:line="260"/>
        <w:ind w:firstLine="0"/>
        <w:jc w:val="left"/>
      </w:pPr>
      <w:r>
        <w:rPr>
          <w:b/>
          <w:bCs/>
          <w:sz w:val="22"/>
          <w:szCs w:val="22"/>
        </w:rPr>
        <w:t xml:space="preserve">Tabelul 1.</w:t>
      </w:r>
      <w:r>
        <w:rPr>
          <w:sz w:val="22"/>
          <w:szCs w:val="22"/>
        </w:rPr>
        <w:t xml:space="preserve"> Perspectivele teoretice folosite în analiză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44"/>
        <w:gridCol w:w="3689"/>
        <w:gridCol w:w="3536"/>
      </w:tblGrid>
      <w:tr>
        <w:trPr>
          <w:tblHeader/>
        </w:trPr>
        <w:tc>
          <w:tcPr>
            <w:tcW w:type="dxa" w:w="18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Perspectiva</w:t>
            </w:r>
          </w:p>
        </w:tc>
        <w:tc>
          <w:tcPr>
            <w:tcW w:type="dxa" w:w="36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Ideea centrală</w:t>
            </w:r>
          </w:p>
        </w:tc>
        <w:tc>
          <w:tcPr>
            <w:tcW w:type="dxa" w:w="353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caută în discursul oficial</w:t>
            </w:r>
          </w:p>
        </w:tc>
      </w:tr>
      <w:tr>
        <w:trPr>
          <w:cantSplit/>
        </w:trPr>
        <w:tc>
          <w:tcPr>
            <w:tcW w:type="dxa" w:w="18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Realismul</w:t>
            </w:r>
          </w:p>
        </w:tc>
        <w:tc>
          <w:tcPr>
            <w:tcW w:type="dxa" w:w="36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Statele urmăresc securitatea și echilibrul de putere într-un sistem anarhic</w:t>
            </w:r>
          </w:p>
        </w:tc>
        <w:tc>
          <w:tcPr>
            <w:tcW w:type="dxa" w:w="353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Referiri la amenințări, apărare, descurajare, alianțe</w:t>
            </w:r>
          </w:p>
        </w:tc>
      </w:tr>
      <w:tr>
        <w:trPr>
          <w:cantSplit/>
        </w:trPr>
        <w:tc>
          <w:tcPr>
            <w:tcW w:type="dxa" w:w="18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Liberalismul instituțional</w:t>
            </w:r>
          </w:p>
        </w:tc>
        <w:tc>
          <w:tcPr>
            <w:tcW w:type="dxa" w:w="36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Instituțiile și interdependența reduc incertitudinea și favorizează cooperarea</w:t>
            </w:r>
          </w:p>
        </w:tc>
        <w:tc>
          <w:tcPr>
            <w:tcW w:type="dxa" w:w="353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Referiri la UE, NATO, ONU, sancțiuni comune, drept internațional</w:t>
            </w:r>
          </w:p>
        </w:tc>
      </w:tr>
      <w:tr>
        <w:trPr>
          <w:cantSplit/>
        </w:trPr>
        <w:tc>
          <w:tcPr>
            <w:tcW w:type="dxa" w:w="18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Constructivismul</w:t>
            </w:r>
          </w:p>
        </w:tc>
        <w:tc>
          <w:tcPr>
            <w:tcW w:type="dxa" w:w="36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Interesele statelor decurg din identități și norme construite social</w:t>
            </w:r>
          </w:p>
        </w:tc>
        <w:tc>
          <w:tcPr>
            <w:tcW w:type="dxa" w:w="353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Identitatea („noi”, „comunitatea euro-atlantică”), valori, norme</w:t>
            </w:r>
          </w:p>
        </w:tc>
      </w:tr>
      <w:tr>
        <w:trPr>
          <w:cantSplit/>
        </w:trPr>
        <w:tc>
          <w:tcPr>
            <w:tcW w:type="dxa" w:w="18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Teoria securitizării</w:t>
            </w:r>
          </w:p>
        </w:tc>
        <w:tc>
          <w:tcPr>
            <w:tcW w:type="dxa" w:w="36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 problemă devine de securitate prin discurs, dacă publicul acceptă măsuri excepționale</w:t>
            </w:r>
          </w:p>
        </w:tc>
        <w:tc>
          <w:tcPr>
            <w:tcW w:type="dxa" w:w="353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Prezentarea unei situații ca amenințare existențială</w:t>
            </w:r>
          </w:p>
        </w:tc>
      </w:tr>
    </w:tbl>
    <w:p>
      <w:pPr>
        <w:spacing w:after="200" w:before="40" w:line="240"/>
        <w:ind w:firstLine="0"/>
        <w:jc w:val="left"/>
      </w:pPr>
      <w:r>
        <w:rPr>
          <w:i/>
          <w:iCs/>
          <w:color w:val="7A8191"/>
          <w:sz w:val="18"/>
          <w:szCs w:val="18"/>
        </w:rPr>
        <w:t xml:space="preserve">Sursa: Sinteză proprie după Waltz (1979), Keohane și Nye (1977), Wendt (1992) și Buzan, Wæver și de Wilde (1998).</w:t>
      </w:r>
    </w:p>
    <w:p>
      <w:pPr>
        <w:pStyle w:val="Heading2"/>
        <w:keepNext/>
      </w:pPr>
      <w:r>
        <w:t xml:space="preserve">1.2. Securitizarea</w:t>
      </w:r>
    </w:p>
    <w:p>
      <w:commentRangeStart w:id="7"/>
      <w:r>
        <w:t xml:space="preserve">Școala de la Copenhaga definește securitizarea ca proces discursiv prin care o problemă este prezentată ca amenințare existențială la adresa unui obiect de referință, justificând măsuri excepționale</w:t>
      </w:r>
      <w:r>
        <w:rPr>
          <w:rStyle w:val="FootnoteReference"/>
        </w:rPr>
        <w:footnoteReference w:id="4"/>
      </w:r>
      <w:r>
        <w:t xml:space="preserve">. Conceptul este util pentru analiza de discurs, deoarece se poate observa direct în texte.</w:t>
      </w:r>
      <w:commentRangeEnd w:id="7"/>
      <w:r>
        <w:commentReference w:id="7"/>
      </w:r>
    </w:p>
    <w:p>
      <w:pPr>
        <w:pStyle w:val="Heading1"/>
        <w:pageBreakBefore/>
      </w:pPr>
      <w:commentRangeStart w:id="8"/>
      <w:r>
        <w:t xml:space="preserve">Capitolul 2. Contextul și metodologia cercetării</w:t>
      </w:r>
      <w:commentRangeEnd w:id="8"/>
      <w:r>
        <w:commentReference w:id="8"/>
      </w:r>
    </w:p>
    <w:p>
      <w:pPr>
        <w:pStyle w:val="Heading2"/>
        <w:keepNext/>
      </w:pPr>
      <w:r>
        <w:t xml:space="preserve">2.1. Contextul internațional</w:t>
      </w:r>
    </w:p>
    <w:p>
      <w:r>
        <w:t xml:space="preserve">Principalele repere internaționale din primul an al războiului sunt prezentate în Figura 1. Rezoluția ES-11/1 a Adunării Generale a ONU, din 2 martie 2022, a cerut Federației Ruse să își retragă forțele de pe teritoriul Ucrainei</w:t>
      </w:r>
      <w:r>
        <w:rPr>
          <w:rStyle w:val="FootnoteReference"/>
        </w:rPr>
        <w:footnoteReference w:id="5"/>
      </w:r>
      <w:r>
        <w:t xml:space="preserve">.</w:t>
      </w:r>
    </w:p>
    <w:p>
      <w:pPr>
        <w:keepNext/>
        <w:spacing w:after="60" w:before="160" w:line="240"/>
        <w:ind w:firstLine="0"/>
        <w:jc w:val="center"/>
      </w:pPr>
      <w:r>
        <w:drawing>
          <wp:inline distT="0" distB="0" distL="0" distR="0">
            <wp:extent cx="5762625" cy="2286000"/>
            <wp:effectExtent t="0" r="0" b="0" l="0"/>
            <wp:docPr id="1" name="Figura 1" descr="Repere ale contextului internațional (2022)" title="Repere ale contextului internațional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28600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Repere ale contextului internațional (2022)</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2"/>
        <w:keepNext/>
      </w:pPr>
      <w:r>
        <w:t xml:space="preserve">2.2. Corpusul și procedura de analiză</w:t>
      </w:r>
    </w:p>
    <w:p>
      <w:r>
        <w:t xml:space="preserve">Corpusul cuprinde 60 de declarații oficiale (comunicate, discursuri, intervenții în organizații internaționale) din perioada 2022–2025, selectate după criteriul referirii explicite la războiul din Ucraina (Tabelul 2, Figura 2). Etapele analizei sunt prezentate în Figura 3.</w:t>
      </w:r>
    </w:p>
    <w:p>
      <w:pPr>
        <w:keepNext/>
        <w:spacing w:after="80" w:before="200" w:line="260"/>
        <w:ind w:firstLine="0"/>
        <w:jc w:val="left"/>
      </w:pPr>
      <w:r>
        <w:rPr>
          <w:b/>
          <w:bCs/>
          <w:sz w:val="22"/>
          <w:szCs w:val="22"/>
        </w:rPr>
        <w:t xml:space="preserve">Tabelul 2.</w:t>
      </w:r>
      <w:r>
        <w:rPr>
          <w:sz w:val="22"/>
          <w:szCs w:val="22"/>
        </w:rPr>
        <w:t xml:space="preserve"> Structura corpusului, pe tipuri de emitent și ani (număr de declarații)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501"/>
        <w:gridCol w:w="1113"/>
        <w:gridCol w:w="1113"/>
        <w:gridCol w:w="1113"/>
        <w:gridCol w:w="1113"/>
        <w:gridCol w:w="1113"/>
      </w:tblGrid>
      <w:tr>
        <w:trPr>
          <w:tblHeader/>
        </w:trPr>
        <w:tc>
          <w:tcPr>
            <w:tcW w:type="dxa" w:w="35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Tipul emitentului</w:t>
            </w:r>
          </w:p>
        </w:tc>
        <w:tc>
          <w:tcPr>
            <w:tcW w:type="dxa" w:w="111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2022</w:t>
            </w:r>
          </w:p>
        </w:tc>
        <w:tc>
          <w:tcPr>
            <w:tcW w:type="dxa" w:w="111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2023</w:t>
            </w:r>
          </w:p>
        </w:tc>
        <w:tc>
          <w:tcPr>
            <w:tcW w:type="dxa" w:w="111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2024</w:t>
            </w:r>
          </w:p>
        </w:tc>
        <w:tc>
          <w:tcPr>
            <w:tcW w:type="dxa" w:w="111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2025</w:t>
            </w:r>
          </w:p>
        </w:tc>
        <w:tc>
          <w:tcPr>
            <w:tcW w:type="dxa" w:w="111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Total</w:t>
            </w:r>
          </w:p>
        </w:tc>
      </w:tr>
      <w:tr>
        <w:trPr>
          <w:cantSplit/>
        </w:trPr>
        <w:tc>
          <w:tcPr>
            <w:tcW w:type="dxa" w:w="35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Șeful statului</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w:t>
            </w:r>
          </w:p>
        </w:tc>
      </w:tr>
      <w:tr>
        <w:trPr>
          <w:cantSplit/>
        </w:trPr>
        <w:tc>
          <w:tcPr>
            <w:tcW w:type="dxa" w:w="35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Guvernul</w:t>
            </w:r>
          </w:p>
        </w:tc>
        <w:tc>
          <w:tcPr>
            <w:tcW w:type="dxa" w:w="11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c>
          <w:tcPr>
            <w:tcW w:type="dxa" w:w="11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11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11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1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13</w:t>
            </w:r>
          </w:p>
        </w:tc>
      </w:tr>
      <w:tr>
        <w:trPr>
          <w:cantSplit/>
        </w:trPr>
        <w:tc>
          <w:tcPr>
            <w:tcW w:type="dxa" w:w="35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Ministerul afacerilor externe</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w:t>
            </w:r>
          </w:p>
        </w:tc>
      </w:tr>
      <w:tr>
        <w:trPr>
          <w:cantSplit/>
        </w:trPr>
        <w:tc>
          <w:tcPr>
            <w:tcW w:type="dxa" w:w="35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Misiunile la organizații internaționale</w:t>
            </w:r>
          </w:p>
        </w:tc>
        <w:tc>
          <w:tcPr>
            <w:tcW w:type="dxa" w:w="11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w:t>
            </w:r>
          </w:p>
        </w:tc>
        <w:tc>
          <w:tcPr>
            <w:tcW w:type="dxa" w:w="11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1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1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1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w:t>
            </w:r>
          </w:p>
        </w:tc>
      </w:tr>
      <w:tr>
        <w:trPr>
          <w:cantSplit/>
        </w:trPr>
        <w:tc>
          <w:tcPr>
            <w:tcW w:type="dxa" w:w="35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Total</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w:t>
            </w:r>
          </w:p>
        </w:tc>
        <w:tc>
          <w:tcPr>
            <w:tcW w:type="dxa" w:w="11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60</w:t>
            </w:r>
          </w:p>
        </w:tc>
      </w:tr>
    </w:tbl>
    <w:p>
      <w:pPr>
        <w:keepNext/>
        <w:spacing w:after="0" w:before="60" w:line="240"/>
        <w:ind w:firstLine="0"/>
        <w:jc w:val="left"/>
      </w:pPr>
      <w:r>
        <w:rPr>
          <w:i/>
          <w:iCs/>
          <w:sz w:val="18"/>
          <w:szCs w:val="18"/>
        </w:rPr>
        <w:t xml:space="preserve">Notă.</w:t>
      </w:r>
      <w:r>
        <w:rPr>
          <w:sz w:val="18"/>
          <w:szCs w:val="18"/>
        </w:rPr>
        <w:t xml:space="preserve"> Corpus fictiv, construit pentru exemplu. Într-o lucrare reală, fiecare declarație se identifică prin emitent, dată, titlu și sursa oficială (URL), într-o anexă.</w:t>
      </w:r>
    </w:p>
    <w:p>
      <w:pPr>
        <w:spacing w:after="200" w:before="40" w:line="240"/>
        <w:ind w:firstLine="0"/>
        <w:jc w:val="left"/>
      </w:pPr>
      <w:r>
        <w:rPr>
          <w:i/>
          <w:iCs/>
          <w:color w:val="7A8191"/>
          <w:sz w:val="18"/>
          <w:szCs w:val="18"/>
        </w:rPr>
        <w:t xml:space="preserve">Sursa: Corpus fictiv, construit pentru exemplu.</w:t>
      </w:r>
    </w:p>
    <w:p>
      <w:pPr>
        <w:keepNext/>
        <w:spacing w:after="60" w:before="160" w:line="240"/>
        <w:ind w:firstLine="0"/>
        <w:jc w:val="center"/>
      </w:pPr>
      <w:r>
        <w:drawing>
          <wp:inline distT="0" distB="0" distL="0" distR="0">
            <wp:extent cx="5124450" cy="2286000"/>
            <wp:effectExtent t="0" r="0" b="0" l="0"/>
            <wp:docPr id="2" name="Figura 2" descr="Declarațiile din corpus, pe tipuri de emitent" title="Declarațiile din corpus, pe tipuri de emi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24450" cy="228600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Declarațiile din corpus, pe tipuri de emitent</w:t>
      </w:r>
    </w:p>
    <w:p>
      <w:pPr>
        <w:spacing w:after="200" w:line="240"/>
        <w:ind w:firstLine="0"/>
        <w:jc w:val="center"/>
      </w:pPr>
      <w:r>
        <w:rPr>
          <w:i/>
          <w:iCs/>
          <w:color w:val="7A8191"/>
          <w:sz w:val="18"/>
          <w:szCs w:val="18"/>
        </w:rPr>
        <w:t xml:space="preserve">Sursa: Prelucrare proprie.</w:t>
      </w:r>
    </w:p>
    <w:p>
      <w:pPr>
        <w:keepNext/>
        <w:spacing w:after="60" w:before="160" w:line="240"/>
        <w:ind w:firstLine="0"/>
        <w:jc w:val="center"/>
      </w:pPr>
      <w:r>
        <w:drawing>
          <wp:inline distT="0" distB="0" distL="0" distR="0">
            <wp:extent cx="5762625" cy="2009775"/>
            <wp:effectExtent t="0" r="0" b="0" l="0"/>
            <wp:docPr id="3" name="Figura 3" descr="Etapele analizei de discurs" title="Etapele analizei de disc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Etapele analizei de discurs</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3.</w:t>
      </w:r>
      <w:r>
        <w:rPr>
          <w:sz w:val="22"/>
          <w:szCs w:val="22"/>
        </w:rPr>
        <w:t xml:space="preserve"> Grila de codificare tematică (extras)</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06"/>
        <w:gridCol w:w="3997"/>
        <w:gridCol w:w="2767"/>
      </w:tblGrid>
      <w:tr>
        <w:trPr>
          <w:tblHeader/>
        </w:trPr>
        <w:tc>
          <w:tcPr>
            <w:tcW w:type="dxa" w:w="230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w:t>
            </w:r>
          </w:p>
        </w:tc>
        <w:tc>
          <w:tcPr>
            <w:tcW w:type="dxa" w:w="399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Definiție operațională</w:t>
            </w:r>
          </w:p>
        </w:tc>
        <w:tc>
          <w:tcPr>
            <w:tcW w:type="dxa" w:w="27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Termeni indicatori</w:t>
            </w:r>
          </w:p>
        </w:tc>
      </w:tr>
      <w:tr>
        <w:trPr>
          <w:cantSplit/>
        </w:trPr>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Securitate regională și NATO</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Declarația tratează apărarea României, flancul estic sau Marea Neagră</w:t>
            </w:r>
          </w:p>
        </w:tc>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securitate, apărare, flanc, descurajare</w:t>
            </w:r>
          </w:p>
        </w:tc>
      </w:tr>
      <w:tr>
        <w:trPr>
          <w:cantSplit/>
        </w:trPr>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Sprijin pentru Ucraina</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Declarația exprimă sprijin politic, umanitar sau logistic</w:t>
            </w:r>
          </w:p>
        </w:tc>
        <w:tc>
          <w:tcPr>
            <w:tcW w:type="dxa" w:w="27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sprijin, solidaritate, refugiați, ajutor</w:t>
            </w:r>
          </w:p>
        </w:tc>
      </w:tr>
      <w:tr>
        <w:trPr>
          <w:cantSplit/>
        </w:trPr>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Drept internațional</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Declarația invocă principii sau norme internaționale</w:t>
            </w:r>
          </w:p>
        </w:tc>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suveranitate, integritate teritorială, Carta ONU</w:t>
            </w:r>
          </w:p>
        </w:tc>
      </w:tr>
      <w:tr>
        <w:trPr>
          <w:cantSplit/>
        </w:trPr>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Unitatea UE și sancțiuni</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Declarația tratează pozițiile comune ale UE</w:t>
            </w:r>
          </w:p>
        </w:tc>
        <w:tc>
          <w:tcPr>
            <w:tcW w:type="dxa" w:w="27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sancțiuni, unitate, Consiliul European</w:t>
            </w:r>
          </w:p>
        </w:tc>
      </w:tr>
      <w:tr>
        <w:trPr>
          <w:cantSplit/>
        </w:trPr>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Pace și reconstrucție</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Declarația tratează negocierile sau perioada de după război</w:t>
            </w:r>
          </w:p>
        </w:tc>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pace, negocieri, reconstrucție</w:t>
            </w:r>
          </w:p>
        </w:tc>
      </w:tr>
    </w:tbl>
    <w:p>
      <w:pPr>
        <w:keepNext/>
        <w:spacing w:after="0" w:before="60" w:line="240"/>
        <w:ind w:firstLine="0"/>
        <w:jc w:val="left"/>
      </w:pPr>
      <w:r>
        <w:rPr>
          <w:i/>
          <w:iCs/>
          <w:sz w:val="18"/>
          <w:szCs w:val="18"/>
        </w:rPr>
        <w:t xml:space="preserve">Notă.</w:t>
      </w:r>
      <w:r>
        <w:rPr>
          <w:sz w:val="18"/>
          <w:szCs w:val="18"/>
        </w:rPr>
        <w:t xml:space="preserve"> O declarație poate fi codificată în mai multe teme. Grila completă este în Anexa 1.</w:t>
      </w:r>
    </w:p>
    <w:p>
      <w:pPr>
        <w:spacing w:after="200" w:before="40" w:line="240"/>
        <w:ind w:firstLine="0"/>
        <w:jc w:val="left"/>
      </w:pPr>
      <w:commentRangeStart w:id="10"/>
      <w:r>
        <w:rPr>
          <w:i/>
          <w:iCs/>
          <w:color w:val="7A8191"/>
          <w:sz w:val="18"/>
          <w:szCs w:val="18"/>
        </w:rPr>
        <w:t xml:space="preserve">Sursa: Instrument propriu (exemplu).</w:t>
      </w:r>
      <w:commentRangeEnd w:id="10"/>
      <w:r>
        <w:commentReference w:id="10"/>
      </w:r>
    </w:p>
    <w:p>
      <w:pPr>
        <w:pStyle w:val="Heading1"/>
        <w:pageBreakBefore/>
      </w:pPr>
      <w:commentRangeStart w:id="11"/>
      <w:r>
        <w:t xml:space="preserve">Capitolul 3. Analiza discursului oficial (2022–2025)</w:t>
      </w:r>
      <w:commentRangeEnd w:id="11"/>
      <w:r>
        <w:commentReference w:id="11"/>
      </w:r>
    </w:p>
    <w:p>
      <w:pPr>
        <w:pStyle w:val="Heading2"/>
        <w:keepNext/>
      </w:pPr>
      <w:r>
        <w:t xml:space="preserve">3.1. Temele discursului</w:t>
      </w:r>
    </w:p>
    <w:p>
      <w:r>
        <w:t xml:space="preserve">Securitatea regională și NATO este tema cea mai frecventă (76,7% din declarații), urmată de sprijinul pentru Ucraina (68,3%) și de dreptul internațional (63,3%) (Tabelul 4, Figura 4). Pacea și reconstrucția apar în mai puțin de un sfert din declarații.</w:t>
      </w:r>
    </w:p>
    <w:p>
      <w:pPr>
        <w:keepNext/>
        <w:spacing w:after="80" w:before="200" w:line="260"/>
        <w:ind w:firstLine="0"/>
        <w:jc w:val="left"/>
      </w:pPr>
      <w:r>
        <w:rPr>
          <w:b/>
          <w:bCs/>
          <w:sz w:val="22"/>
          <w:szCs w:val="22"/>
        </w:rPr>
        <w:t xml:space="preserve">Tabelul 4.</w:t>
      </w:r>
      <w:r>
        <w:rPr>
          <w:sz w:val="22"/>
          <w:szCs w:val="22"/>
        </w:rPr>
        <w:t xml:space="preserve"> Temele identificate în corpus (N = 60 de declarații)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Declarații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 din corpus</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Securitate regională și NATO</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46</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76,7%</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Sprijin pentru Ucraina</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41</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68,3%</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Drept internațional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63,3%</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Unitatea UE și sancțiuni</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27</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45,0%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Energie și economie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31,7%</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Republica Moldova și vecinătatea</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26,7%</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Pace și reconstrucție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23,3%</w:t>
            </w:r>
          </w:p>
        </w:tc>
      </w:tr>
    </w:tbl>
    <w:p>
      <w:pPr>
        <w:keepNext/>
        <w:spacing w:after="0" w:before="60" w:line="240"/>
        <w:ind w:firstLine="0"/>
        <w:jc w:val="left"/>
      </w:pPr>
      <w:r>
        <w:rPr>
          <w:i/>
          <w:iCs/>
          <w:sz w:val="18"/>
          <w:szCs w:val="18"/>
        </w:rPr>
        <w:t xml:space="preserve">Notă.</w:t>
      </w:r>
      <w:r>
        <w:rPr>
          <w:sz w:val="18"/>
          <w:szCs w:val="18"/>
        </w:rPr>
        <w:t xml:space="preserve"> Procentele nu se adună la 100%, deoarece o declarație poate conține mai multe teme.</w:t>
      </w:r>
    </w:p>
    <w:p>
      <w:pPr>
        <w:spacing w:after="200" w:before="40" w:line="240"/>
        <w:ind w:firstLine="0"/>
        <w:jc w:val="left"/>
      </w:pPr>
      <w:r>
        <w:rPr>
          <w:i/>
          <w:iCs/>
          <w:color w:val="7A8191"/>
          <w:sz w:val="18"/>
          <w:szCs w:val="18"/>
        </w:rPr>
        <w:t xml:space="preserve">Sursa: Corpus fictiv, construit pentru exemplu.</w:t>
      </w:r>
    </w:p>
    <w:p>
      <w:pPr>
        <w:keepNext/>
        <w:spacing w:after="60" w:before="160" w:line="240"/>
        <w:ind w:firstLine="0"/>
        <w:jc w:val="center"/>
      </w:pPr>
      <w:r>
        <w:drawing>
          <wp:inline distT="0" distB="0" distL="0" distR="0">
            <wp:extent cx="5762625" cy="3019425"/>
            <wp:effectExtent t="0" r="0" b="0" l="0"/>
            <wp:docPr id="4" name="Figura 4" descr="Temele identificate în corpus (% din declarații)" title="Temele identificate în corpus (% din declaraț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30194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Temele identificate în corpus (% din declarații)</w:t>
      </w:r>
    </w:p>
    <w:p>
      <w:pPr>
        <w:spacing w:after="200" w:line="240"/>
        <w:ind w:firstLine="0"/>
        <w:jc w:val="center"/>
      </w:pPr>
      <w:r>
        <w:rPr>
          <w:i/>
          <w:iCs/>
          <w:color w:val="7A8191"/>
          <w:sz w:val="18"/>
          <w:szCs w:val="18"/>
        </w:rPr>
        <w:t xml:space="preserve">Sursa: Prelucrare proprie.</w:t>
      </w:r>
    </w:p>
    <w:p>
      <w:pPr>
        <w:pStyle w:val="Heading2"/>
        <w:keepNext/>
      </w:pPr>
      <w:r>
        <w:t xml:space="preserve">3.2. Evoluția termenilor-cheie</w:t>
      </w:r>
    </w:p>
    <w:p>
      <w:r>
        <w:t xml:space="preserve">Termenul „securitate” rămâne cel mai frecvent în fiecare an, dar scade ușor după 2022. „Suveranitate” și „sprijin” scad constant, în timp ce „reconstrucție” crește de la 0,3 la 2,4 apariții la 1 000 de cuvinte, iar „pace” de la 1,1 la 2,6 (Tabelul 5, Figura 5). Evoluția susține ipoteza.</w:t>
      </w:r>
    </w:p>
    <w:p>
      <w:pPr>
        <w:keepNext/>
        <w:spacing w:after="80" w:before="200" w:line="260"/>
        <w:ind w:firstLine="0"/>
        <w:jc w:val="left"/>
      </w:pPr>
      <w:r>
        <w:rPr>
          <w:b/>
          <w:bCs/>
          <w:sz w:val="22"/>
          <w:szCs w:val="22"/>
        </w:rPr>
        <w:t xml:space="preserve">Tabelul 5.</w:t>
      </w:r>
      <w:r>
        <w:rPr>
          <w:sz w:val="22"/>
          <w:szCs w:val="22"/>
        </w:rPr>
        <w:t xml:space="preserve"> Frecvența termenilor-cheie, pe ani (apariții la 1 000 de cuvinte)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Anul</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securitate</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suveranitate</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sprijin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reconstrucție</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pace</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2022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2023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2024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1,9</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2025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2,6</w:t>
            </w:r>
          </w:p>
        </w:tc>
      </w:tr>
    </w:tbl>
    <w:p>
      <w:pPr>
        <w:keepNext/>
        <w:spacing w:after="0" w:before="60" w:line="240"/>
        <w:ind w:firstLine="0"/>
        <w:jc w:val="left"/>
      </w:pPr>
      <w:r>
        <w:rPr>
          <w:i/>
          <w:iCs/>
          <w:sz w:val="18"/>
          <w:szCs w:val="18"/>
        </w:rPr>
        <w:t xml:space="preserve">Notă.</w:t>
      </w:r>
      <w:r>
        <w:rPr>
          <w:sz w:val="18"/>
          <w:szCs w:val="18"/>
        </w:rPr>
        <w:t xml:space="preserve"> Numărul de cuvinte analizate: 18 400 (2022), 11 200 (2023), 9 600 (2024), 8 800 (2025); total 48 000. Termenii au fost numărați cu toate formele flexionare (lematizare).</w:t>
      </w:r>
    </w:p>
    <w:p>
      <w:pPr>
        <w:spacing w:after="200" w:before="40" w:line="240"/>
        <w:ind w:firstLine="0"/>
        <w:jc w:val="left"/>
      </w:pPr>
      <w:r>
        <w:rPr>
          <w:i/>
          <w:iCs/>
          <w:color w:val="7A8191"/>
          <w:sz w:val="18"/>
          <w:szCs w:val="18"/>
        </w:rPr>
        <w:t xml:space="preserve">Sursa: Corpus fictiv, construit pentru exemplu.</w:t>
      </w:r>
    </w:p>
    <w:p>
      <w:pPr>
        <w:keepNext/>
        <w:spacing w:after="60" w:before="160" w:line="240"/>
        <w:ind w:firstLine="0"/>
        <w:jc w:val="center"/>
      </w:pPr>
      <w:r>
        <w:drawing>
          <wp:inline distT="0" distB="0" distL="0" distR="0">
            <wp:extent cx="5486400" cy="2743200"/>
            <wp:effectExtent t="0" r="0" b="0" l="0"/>
            <wp:docPr id="5" name="Figura 5" descr="Evoluția frecvenței a patru termeni-cheie, 2022–2025 (la 1 000 de cuvinte)" title="Evoluția frecvenței a patru termeni-cheie, 2022–2025 (la 1 000 de cuvi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Evoluția frecvenței a patru termeni-cheie, 2022–2025 (la 1 000 de cuvinte)</w:t>
      </w:r>
    </w:p>
    <w:p>
      <w:pPr>
        <w:spacing w:after="200" w:line="240"/>
        <w:ind w:firstLine="0"/>
        <w:jc w:val="center"/>
      </w:pPr>
      <w:r>
        <w:rPr>
          <w:i/>
          <w:iCs/>
          <w:color w:val="7A8191"/>
          <w:sz w:val="18"/>
          <w:szCs w:val="18"/>
        </w:rPr>
        <w:t xml:space="preserve">Sursa: Prelucrare proprie.</w:t>
      </w:r>
    </w:p>
    <w:p>
      <w:pPr>
        <w:pStyle w:val="Heading2"/>
        <w:keepNext/>
      </w:pPr>
      <w:r>
        <w:t xml:space="preserve">3.3. Actorii menționați</w:t>
      </w:r>
    </w:p>
    <w:p>
      <w:r>
        <w:t xml:space="preserve">În afară de Ucraina, prezentă în toate declarațiile, cei mai menționați actori sunt Federația Rusă (86,7%), NATO (73,3%) și Uniunea Europeană (71,7%) (Tabelul 6, Figura 6). Frecvența mare a NATO și a UE arată că poziția națională este prezentată aproape mereu în cadrul alianțelor.</w:t>
      </w:r>
    </w:p>
    <w:p>
      <w:pPr>
        <w:keepNext/>
        <w:spacing w:after="80" w:before="200" w:line="260"/>
        <w:ind w:firstLine="0"/>
        <w:jc w:val="left"/>
      </w:pPr>
      <w:r>
        <w:rPr>
          <w:b/>
          <w:bCs/>
          <w:sz w:val="22"/>
          <w:szCs w:val="22"/>
        </w:rPr>
        <w:t xml:space="preserve">Tabelul 6.</w:t>
      </w:r>
      <w:r>
        <w:rPr>
          <w:sz w:val="22"/>
          <w:szCs w:val="22"/>
        </w:rPr>
        <w:t xml:space="preserve"> Actorii internaționali menționați în declarații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Actorul</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Declarații în care apare</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 din corpus</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Ucraina</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Federația Rusă</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86,7%</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NATO</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73,3%</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Uniunea Europeană</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43</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71,7%</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Republica Moldova</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35,0%</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Statele Unite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30,0%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ONU</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r>
    </w:tbl>
    <w:p>
      <w:pPr>
        <w:spacing w:after="200" w:before="40" w:line="240"/>
        <w:ind w:firstLine="0"/>
        <w:jc w:val="left"/>
      </w:pPr>
      <w:r>
        <w:rPr>
          <w:i/>
          <w:iCs/>
          <w:color w:val="7A8191"/>
          <w:sz w:val="18"/>
          <w:szCs w:val="18"/>
        </w:rPr>
        <w:t xml:space="preserve">Sursa: Corpus fictiv, construit pentru exemplu.</w:t>
      </w:r>
    </w:p>
    <w:p>
      <w:pPr>
        <w:keepNext/>
        <w:spacing w:after="60" w:before="160" w:line="240"/>
        <w:ind w:firstLine="0"/>
        <w:jc w:val="center"/>
      </w:pPr>
      <w:r>
        <w:drawing>
          <wp:inline distT="0" distB="0" distL="0" distR="0">
            <wp:extent cx="5762625" cy="2466975"/>
            <wp:effectExtent t="0" r="0" b="0" l="0"/>
            <wp:docPr id="6" name="Figura 6" descr="Actorii menționați în declarații (% din corpus)" title="Actorii menționați în declarații (% din cor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46697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Actorii menționați în declarații (% din corpus)</w:t>
      </w:r>
    </w:p>
    <w:p>
      <w:pPr>
        <w:spacing w:after="200" w:line="240"/>
        <w:ind w:firstLine="0"/>
        <w:jc w:val="center"/>
      </w:pPr>
      <w:r>
        <w:rPr>
          <w:i/>
          <w:iCs/>
          <w:color w:val="7A8191"/>
          <w:sz w:val="18"/>
          <w:szCs w:val="18"/>
        </w:rPr>
        <w:t xml:space="preserve">Sursa: Prelucrare proprie.</w:t>
      </w:r>
    </w:p>
    <w:p>
      <w:pPr>
        <w:pStyle w:val="Heading2"/>
        <w:keepNext/>
      </w:pPr>
      <w:r>
        <w:t xml:space="preserve">3.4. Strategii discursive</w:t>
      </w:r>
    </w:p>
    <w:p>
      <w:r>
        <w:t xml:space="preserve">Lectura calitativă a fragmentelor codificate arată patru strategii recurente: securitizarea, legitimarea prin norme internaționale, construirea unui „noi” euro-atlantic și cadrarea economică (Tabelul 7).</w:t>
      </w:r>
    </w:p>
    <w:p>
      <w:pPr>
        <w:keepNext/>
        <w:spacing w:after="80" w:before="200" w:line="260"/>
        <w:ind w:firstLine="0"/>
        <w:jc w:val="left"/>
      </w:pPr>
      <w:r>
        <w:rPr>
          <w:b/>
          <w:bCs/>
          <w:sz w:val="22"/>
          <w:szCs w:val="22"/>
        </w:rPr>
        <w:t xml:space="preserve">Tabelul 7.</w:t>
      </w:r>
      <w:r>
        <w:rPr>
          <w:sz w:val="22"/>
          <w:szCs w:val="22"/>
        </w:rPr>
        <w:t xml:space="preserve"> Fragmente codificate din corpus și strategia discursivă identificată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379"/>
        <w:gridCol w:w="2033"/>
        <w:gridCol w:w="2658"/>
      </w:tblGrid>
      <w:tr>
        <w:trPr>
          <w:tblHeader/>
        </w:trPr>
        <w:tc>
          <w:tcPr>
            <w:tcW w:type="dxa" w:w="43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Fragmentul (corpus fictiv)</w:t>
            </w:r>
          </w:p>
        </w:tc>
        <w:tc>
          <w:tcPr>
            <w:tcW w:type="dxa" w:w="20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w:t>
            </w:r>
          </w:p>
        </w:tc>
        <w:tc>
          <w:tcPr>
            <w:tcW w:type="dxa" w:w="265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Strategia discursivă</w:t>
            </w:r>
          </w:p>
        </w:tc>
      </w:tr>
      <w:tr>
        <w:trPr>
          <w:cantSplit/>
        </w:trPr>
        <w:tc>
          <w:tcPr>
            <w:tcW w:type="dxa" w:w="4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„Securitatea regiunii Mării Negre este direct legată de securitatea țării noastre.” (Declarația 4, 2022)</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Securitate regională</w:t>
            </w:r>
          </w:p>
        </w:tc>
        <w:tc>
          <w:tcPr>
            <w:tcW w:type="dxa" w:w="26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Securitizare: amenințare și obiect de referință</w:t>
            </w:r>
          </w:p>
        </w:tc>
      </w:tr>
      <w:tr>
        <w:trPr>
          <w:cantSplit/>
        </w:trPr>
        <w:tc>
          <w:tcPr>
            <w:tcW w:type="dxa" w:w="4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„Respectarea suveranității și a integrității teritoriale a statelor este un principiu fundamental.” (Declarația 17, 2022)</w:t>
            </w:r>
          </w:p>
        </w:tc>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Drept internațional</w:t>
            </w:r>
          </w:p>
        </w:tc>
        <w:tc>
          <w:tcPr>
            <w:tcW w:type="dxa" w:w="26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Legitimare prin norme</w:t>
            </w:r>
          </w:p>
        </w:tc>
      </w:tr>
      <w:tr>
        <w:trPr>
          <w:cantSplit/>
        </w:trPr>
        <w:tc>
          <w:tcPr>
            <w:tcW w:type="dxa" w:w="4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„Solidaritatea în cadrul Uniunii Europene și al Alianței rămâne esențială.” (Declarația 35, 2024)</w:t>
            </w:r>
          </w:p>
        </w:tc>
        <w:tc>
          <w:tcPr>
            <w:tcW w:type="dxa" w:w="20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Unitatea UE</w:t>
            </w:r>
          </w:p>
        </w:tc>
        <w:tc>
          <w:tcPr>
            <w:tcW w:type="dxa" w:w="26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Construirea unui „noi” colectiv</w:t>
            </w:r>
          </w:p>
        </w:tc>
      </w:tr>
      <w:tr>
        <w:trPr>
          <w:cantSplit/>
        </w:trPr>
        <w:tc>
          <w:tcPr>
            <w:tcW w:type="dxa" w:w="4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„Reconstrucția va deschide noi oportunități de cooperare regională.” (Declarația 52, 2025)</w:t>
            </w:r>
          </w:p>
        </w:tc>
        <w:tc>
          <w:tcPr>
            <w:tcW w:type="dxa" w:w="20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Pace și reconstrucție</w:t>
            </w:r>
          </w:p>
        </w:tc>
        <w:tc>
          <w:tcPr>
            <w:tcW w:type="dxa" w:w="26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Cadrare economică și de cooperare</w:t>
            </w:r>
          </w:p>
        </w:tc>
      </w:tr>
    </w:tbl>
    <w:p>
      <w:pPr>
        <w:keepNext/>
        <w:spacing w:after="0" w:before="60" w:line="240"/>
        <w:ind w:firstLine="0"/>
        <w:jc w:val="left"/>
      </w:pPr>
      <w:r>
        <w:rPr>
          <w:i/>
          <w:iCs/>
          <w:sz w:val="18"/>
          <w:szCs w:val="18"/>
        </w:rPr>
        <w:t xml:space="preserve">Notă.</w:t>
      </w:r>
      <w:r>
        <w:rPr>
          <w:sz w:val="18"/>
          <w:szCs w:val="18"/>
        </w:rPr>
        <w:t xml:space="preserve"> Fragmentele sunt inventate pentru exemplu și nu reproduc declarații reale ale vreunei persoane sau instituții.</w:t>
      </w:r>
    </w:p>
    <w:p>
      <w:pPr>
        <w:spacing w:after="200" w:before="40" w:line="240"/>
        <w:ind w:firstLine="0"/>
        <w:jc w:val="left"/>
      </w:pPr>
      <w:r>
        <w:rPr>
          <w:i/>
          <w:iCs/>
          <w:color w:val="7A8191"/>
          <w:sz w:val="18"/>
          <w:szCs w:val="18"/>
        </w:rPr>
        <w:t xml:space="preserve">Sursa: Corpus fictiv, construit pentru exemplu.</w:t>
      </w:r>
    </w:p>
    <w:p>
      <w:pPr>
        <w:pStyle w:val="Heading2"/>
        <w:keepNext/>
      </w:pPr>
      <w:r>
        <w:t xml:space="preserve">3.5. Interpretarea autorului</w:t>
      </w:r>
    </w:p>
    <w:p>
      <w:r>
        <w:t xml:space="preserve">Pe baza temelor și a termenilor, propunem o periodizare în trei etape (Tabelul 8, Figura 7). În 2022 discursul este dominat de securitizare și de logica realistă a apărării prin alianțe. În 2023–2024 accentul trece spre instituții (UE, sancțiuni, energie), în acord cu liberalismul instituțional. În 2025 apar teme de cooperare regională, pe care le citim prin constructivism: România se prezintă ca parte a unei comunități euro-atlantice.</w:t>
      </w:r>
    </w:p>
    <w:p>
      <w:pPr>
        <w:keepNext/>
        <w:spacing w:after="80" w:before="200" w:line="260"/>
        <w:ind w:firstLine="0"/>
        <w:jc w:val="left"/>
      </w:pPr>
      <w:r>
        <w:rPr>
          <w:b/>
          <w:bCs/>
          <w:sz w:val="22"/>
          <w:szCs w:val="22"/>
        </w:rPr>
        <w:t xml:space="preserve">Tabelul 8.</w:t>
      </w:r>
      <w:r>
        <w:rPr>
          <w:sz w:val="22"/>
          <w:szCs w:val="22"/>
        </w:rPr>
        <w:t xml:space="preserve"> Etapele discursului oficial propuse de autor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65"/>
        <w:gridCol w:w="2721"/>
        <w:gridCol w:w="1965"/>
        <w:gridCol w:w="2418"/>
      </w:tblGrid>
      <w:tr>
        <w:trPr>
          <w:tblHeader/>
        </w:trPr>
        <w:tc>
          <w:tcPr>
            <w:tcW w:type="dxa" w:w="19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Etapa</w:t>
            </w:r>
          </w:p>
        </w:tc>
        <w:tc>
          <w:tcPr>
            <w:tcW w:type="dxa" w:w="272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Teme dominante</w:t>
            </w:r>
          </w:p>
        </w:tc>
        <w:tc>
          <w:tcPr>
            <w:tcW w:type="dxa" w:w="19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Termeni în creștere</w:t>
            </w:r>
          </w:p>
        </w:tc>
        <w:tc>
          <w:tcPr>
            <w:tcW w:type="dxa" w:w="24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Lectura teoretică</w:t>
            </w:r>
          </w:p>
        </w:tc>
      </w:tr>
      <w:tr>
        <w:trPr>
          <w:cantSplit/>
        </w:trPr>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2022: reacția imediată</w:t>
            </w:r>
          </w:p>
        </w:tc>
        <w:tc>
          <w:tcPr>
            <w:tcW w:type="dxa" w:w="27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Securitate, sprijin, drept internațional</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securitate, suveranitate</w:t>
            </w:r>
          </w:p>
        </w:tc>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Securitizare; realism (apărare, alianțe)</w:t>
            </w:r>
          </w:p>
        </w:tc>
      </w:tr>
      <w:tr>
        <w:trPr>
          <w:cantSplit/>
        </w:trPr>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2023–2024: consolidarea</w:t>
            </w:r>
          </w:p>
        </w:tc>
        <w:tc>
          <w:tcPr>
            <w:tcW w:type="dxa" w:w="27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Unitatea UE, energie, Republica Moldova</w:t>
            </w:r>
          </w:p>
        </w:tc>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reconstrucție</w:t>
            </w:r>
          </w:p>
        </w:tc>
        <w:tc>
          <w:tcPr>
            <w:tcW w:type="dxa" w:w="24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Liberalism instituțional</w:t>
            </w:r>
          </w:p>
        </w:tc>
      </w:tr>
      <w:tr>
        <w:trPr>
          <w:cantSplit/>
        </w:trPr>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2025: perspectiva post-conflict</w:t>
            </w:r>
          </w:p>
        </w:tc>
        <w:tc>
          <w:tcPr>
            <w:tcW w:type="dxa" w:w="27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Pace, reconstrucție, cooperare regională</w:t>
            </w:r>
          </w:p>
        </w:tc>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pace, reconstrucție</w:t>
            </w:r>
          </w:p>
        </w:tc>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Constructivism (identitate regională)</w:t>
            </w:r>
          </w:p>
        </w:tc>
      </w:tr>
    </w:tbl>
    <w:p>
      <w:pPr>
        <w:spacing w:after="200" w:before="40" w:line="240"/>
        <w:ind w:firstLine="0"/>
        <w:jc w:val="left"/>
      </w:pPr>
      <w:r>
        <w:rPr>
          <w:i/>
          <w:iCs/>
          <w:color w:val="7A8191"/>
          <w:sz w:val="18"/>
          <w:szCs w:val="18"/>
        </w:rPr>
        <w:t xml:space="preserve">Sursa: Propunere proprie a autorului, pe baza corpusului fictiv.</w:t>
      </w:r>
    </w:p>
    <w:p>
      <w:pPr>
        <w:keepNext/>
        <w:spacing w:after="60" w:before="160" w:line="240"/>
        <w:ind w:firstLine="0"/>
        <w:jc w:val="center"/>
      </w:pPr>
      <w:r>
        <w:drawing>
          <wp:inline distT="0" distB="0" distL="0" distR="0">
            <wp:extent cx="5762625" cy="2743200"/>
            <wp:effectExtent t="0" r="0" b="0" l="0"/>
            <wp:docPr id="7" name="Figura 7" descr="Periodizarea discursului oficial propusă de autor" title="Periodizarea discursului oficial propusă de au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Periodizarea discursului oficial propusă de autor</w:t>
      </w:r>
    </w:p>
    <w:p>
      <w:pPr>
        <w:spacing w:after="200" w:line="240"/>
        <w:ind w:firstLine="0"/>
        <w:jc w:val="center"/>
      </w:pPr>
      <w:commentRangeStart w:id="12"/>
      <w:r>
        <w:rPr>
          <w:i/>
          <w:iCs/>
          <w:color w:val="7A8191"/>
          <w:sz w:val="18"/>
          <w:szCs w:val="18"/>
        </w:rPr>
        <w:t xml:space="preserve">Sursa: Prelucrare proprie.</w:t>
      </w:r>
      <w:commentRangeEnd w:id="12"/>
      <w:r>
        <w:commentReference w:id="12"/>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Discursul oficial din corpus este dominat de securitatea regională, de sprijinul pentru Ucraina și de dreptul internațional.</w:t>
      </w:r>
    </w:p>
    <w:p>
      <w:pPr>
        <w:tabs>
          <w:tab w:val="left" w:pos="709"/>
        </w:tabs>
        <w:spacing w:after="60"/>
        <w:ind w:left="709" w:hanging="357" w:firstLine="0"/>
        <w:jc w:val="left"/>
      </w:pPr>
      <w:r>
        <w:t xml:space="preserve">•	</w:t>
      </w:r>
      <w:r>
        <w:t xml:space="preserve">Poziția națională este formulată aproape mereu prin NATO și UE.</w:t>
      </w:r>
    </w:p>
    <w:p>
      <w:pPr>
        <w:tabs>
          <w:tab w:val="left" w:pos="709"/>
        </w:tabs>
        <w:spacing w:after="60"/>
        <w:ind w:left="709" w:hanging="357" w:firstLine="0"/>
        <w:jc w:val="left"/>
      </w:pPr>
      <w:r>
        <w:t xml:space="preserve">•	</w:t>
      </w:r>
      <w:r>
        <w:t xml:space="preserve">Accentul se mută în timp de la securitate și suveranitate spre pace și reconstrucție, ceea ce susține ipoteza.</w:t>
      </w:r>
    </w:p>
    <w:p>
      <w:r>
        <w:rPr>
          <w:b/>
          <w:bCs/>
        </w:rPr>
        <w:t xml:space="preserve">Limite:</w:t>
      </w:r>
      <w:r>
        <w:t xml:space="preserve"> corpus de dimensiuni mici (60 de declarații), fără documente clasificate sau negocieri neoficiale; frecvența termenilor nu arată singură intenția emitentului. O cercetare viitoare ar putea compara discursul României cu cel al altor state de pe flancul estic.</w:t>
      </w:r>
    </w:p>
    <w:p>
      <w:pPr>
        <w:pStyle w:val="Heading1"/>
        <w:pageBreakBefore/>
      </w:pPr>
      <w:commentRangeStart w:id="14"/>
      <w:r>
        <w:t xml:space="preserve">Bibliografie</w:t>
      </w:r>
      <w:commentRangeEnd w:id="14"/>
      <w:r>
        <w:commentReference w:id="14"/>
      </w:r>
    </w:p>
    <w:p>
      <w:pPr>
        <w:spacing w:after="100" w:line="300"/>
        <w:ind w:left="709" w:hanging="709" w:firstLine="0"/>
        <w:jc w:val="left"/>
      </w:pPr>
      <w:r>
        <w:rPr>
          <w:b/>
          <w:bCs/>
        </w:rPr>
        <w:t xml:space="preserve">I. Documente oficiale</w:t>
      </w:r>
    </w:p>
    <w:p>
      <w:pPr>
        <w:spacing w:after="100" w:line="300"/>
        <w:ind w:left="709" w:hanging="709" w:firstLine="0"/>
        <w:jc w:val="left"/>
      </w:pPr>
      <w:r>
        <w:t xml:space="preserve">Adunarea Generală a ONU. Rezoluția A/RES/ES-11/1, „Aggression against Ukraine”. Adoptată la 2 martie 2022.</w:t>
      </w:r>
    </w:p>
    <w:p>
      <w:pPr>
        <w:spacing w:after="100" w:line="300"/>
        <w:ind w:left="709" w:hanging="709" w:firstLine="0"/>
        <w:jc w:val="left"/>
      </w:pPr>
      <w:r>
        <w:t xml:space="preserve">Corpus de declarații oficiale, 2022–2025 (60 de documente, corpus fictiv construit pentru exemplu; lista completă în anexă).</w:t>
      </w:r>
    </w:p>
    <w:p>
      <w:pPr>
        <w:spacing w:after="100" w:line="300"/>
        <w:ind w:left="709" w:hanging="709" w:firstLine="0"/>
        <w:jc w:val="left"/>
      </w:pPr>
      <w:r>
        <w:rPr>
          <w:b/>
          <w:bCs/>
        </w:rPr>
        <w:t xml:space="preserve">II. Lucrări de specialitate</w:t>
      </w:r>
    </w:p>
    <w:p>
      <w:pPr>
        <w:spacing w:after="100" w:line="300"/>
        <w:ind w:left="709" w:hanging="709" w:firstLine="0"/>
        <w:jc w:val="left"/>
      </w:pPr>
      <w:r>
        <w:t xml:space="preserve">Buzan, Barry, Ole Wæver și Jaap de Wilde. </w:t>
      </w:r>
      <w:r>
        <w:rPr>
          <w:i/>
          <w:iCs/>
        </w:rPr>
        <w:t xml:space="preserve">Security: A New Framework for Analysis</w:t>
      </w:r>
      <w:r>
        <w:t xml:space="preserve">. Boulder, CO: Lynne Rienner, 1998.</w:t>
      </w:r>
    </w:p>
    <w:p>
      <w:pPr>
        <w:spacing w:after="100" w:line="300"/>
        <w:ind w:left="709" w:hanging="709" w:firstLine="0"/>
        <w:jc w:val="left"/>
      </w:pPr>
      <w:r>
        <w:t xml:space="preserve">Keohane, Robert O. și Joseph S. Nye. </w:t>
      </w:r>
      <w:r>
        <w:rPr>
          <w:i/>
          <w:iCs/>
        </w:rPr>
        <w:t xml:space="preserve">Power and Interdependence</w:t>
      </w:r>
      <w:r>
        <w:t xml:space="preserve">. Boston: Little, Brown, 1977.</w:t>
      </w:r>
    </w:p>
    <w:p>
      <w:pPr>
        <w:spacing w:after="100" w:line="300"/>
        <w:ind w:left="709" w:hanging="709" w:firstLine="0"/>
        <w:jc w:val="left"/>
      </w:pPr>
      <w:r>
        <w:t xml:space="preserve">Popescu, Daniel. </w:t>
      </w:r>
      <w:r>
        <w:rPr>
          <w:i/>
          <w:iCs/>
        </w:rPr>
        <w:t xml:space="preserve">Politica externă a României după 2004</w:t>
      </w:r>
      <w:r>
        <w:t xml:space="preserve">. București: Editura Exemplu, 2021.</w:t>
      </w:r>
    </w:p>
    <w:p>
      <w:pPr>
        <w:spacing w:after="100" w:line="300"/>
        <w:ind w:left="709" w:hanging="709" w:firstLine="0"/>
        <w:jc w:val="left"/>
      </w:pPr>
      <w:r>
        <w:t xml:space="preserve">Waltz, Kenneth N. </w:t>
      </w:r>
      <w:r>
        <w:rPr>
          <w:i/>
          <w:iCs/>
        </w:rPr>
        <w:t xml:space="preserve">Theory of International Politics</w:t>
      </w:r>
      <w:r>
        <w:t xml:space="preserve">. Reading, MA: Addison-Wesley, 1979.</w:t>
      </w:r>
    </w:p>
    <w:p>
      <w:pPr>
        <w:spacing w:after="100" w:line="300"/>
        <w:ind w:left="709" w:hanging="709" w:firstLine="0"/>
        <w:jc w:val="left"/>
      </w:pPr>
      <w:r>
        <w:t xml:space="preserve">Wendt, Alexander. „Anarchy Is What States Make of It: The Social Construction of Power Politics”. </w:t>
      </w:r>
      <w:r>
        <w:rPr>
          <w:i/>
          <w:iCs/>
        </w:rPr>
        <w:t xml:space="preserve">International Organization</w:t>
      </w:r>
      <w:r>
        <w:t xml:space="preserve"> 46, nr. 2 (1992): 391–425.</w:t>
      </w:r>
    </w:p>
    <w:p>
      <w:pPr>
        <w:pStyle w:val="Heading1"/>
        <w:pageBreakBefore/>
      </w:pPr>
      <w:commentRangeStart w:id="15"/>
      <w:r>
        <w:t xml:space="preserve">Anexa 1. Fișa de codificare a unei declarații</w:t>
      </w:r>
      <w:commentRangeEnd w:id="15"/>
      <w:r>
        <w:commentReference w:id="15"/>
      </w:r>
    </w:p>
    <w:p>
      <w:pPr>
        <w:tabs>
          <w:tab w:val="left" w:pos="709"/>
        </w:tabs>
        <w:spacing w:after="60"/>
        <w:ind w:left="709" w:hanging="357" w:firstLine="0"/>
        <w:jc w:val="left"/>
      </w:pPr>
      <w:r>
        <w:t xml:space="preserve">1.	</w:t>
      </w:r>
      <w:r>
        <w:t xml:space="preserve">Codul declarației (D01–D60), tipul emitentului, data, tipul documentului (comunicat, discurs, intervenție).</w:t>
      </w:r>
    </w:p>
    <w:p>
      <w:pPr>
        <w:tabs>
          <w:tab w:val="left" w:pos="709"/>
        </w:tabs>
        <w:spacing w:after="60"/>
        <w:ind w:left="709" w:hanging="357" w:firstLine="0"/>
        <w:jc w:val="left"/>
      </w:pPr>
      <w:r>
        <w:t xml:space="preserve">2.	</w:t>
      </w:r>
      <w:r>
        <w:t xml:space="preserve">Numărul de cuvinte.</w:t>
      </w:r>
    </w:p>
    <w:p>
      <w:pPr>
        <w:tabs>
          <w:tab w:val="left" w:pos="709"/>
        </w:tabs>
        <w:spacing w:after="60"/>
        <w:ind w:left="709" w:hanging="357" w:firstLine="0"/>
        <w:jc w:val="left"/>
      </w:pPr>
      <w:r>
        <w:t xml:space="preserve">3.	</w:t>
      </w:r>
      <w:r>
        <w:t xml:space="preserve">Temele prezente (codificare multiplă): securitate, sprijin, drept internațional, UE, energie, Republica Moldova, pace.</w:t>
      </w:r>
    </w:p>
    <w:p>
      <w:pPr>
        <w:tabs>
          <w:tab w:val="left" w:pos="709"/>
        </w:tabs>
        <w:spacing w:after="60"/>
        <w:ind w:left="709" w:hanging="357" w:firstLine="0"/>
        <w:jc w:val="left"/>
      </w:pPr>
      <w:r>
        <w:t xml:space="preserve">4.	</w:t>
      </w:r>
      <w:r>
        <w:t xml:space="preserve">Actorii internaționali menționați.</w:t>
      </w:r>
    </w:p>
    <w:p>
      <w:pPr>
        <w:tabs>
          <w:tab w:val="left" w:pos="709"/>
        </w:tabs>
        <w:spacing w:after="60"/>
        <w:ind w:left="709" w:hanging="357" w:firstLine="0"/>
        <w:jc w:val="left"/>
      </w:pPr>
      <w:r>
        <w:t xml:space="preserve">5.	</w:t>
      </w:r>
      <w:r>
        <w:t xml:space="preserve">Strategia discursivă dominantă și fragmentul reprezentativ.</w:t>
      </w:r>
    </w:p>
    <w:p>
      <w:pPr>
        <w:tabs>
          <w:tab w:val="left" w:pos="709"/>
        </w:tabs>
        <w:spacing w:after="60"/>
        <w:ind w:left="709" w:hanging="357" w:firstLine="0"/>
        <w:jc w:val="left"/>
      </w:pPr>
      <w:r>
        <w:t xml:space="preserve">6.	</w:t>
      </w:r>
      <w:r>
        <w:t xml:space="preserve">Observații ale codificatorului.</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Relații Internaționale.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Romania a avut o pozitie foarte buna si curajoasa fata de razboi, spre deosebire de alte tari care au fost lase. Liderii nostri au spus de nenumarate ori ca suntem in siguranta datorita NATO, deci e clar ca realismul are dreptate. Toata lumea stie ca Rusia vrea sa refaca imperiul.</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În corpusul analizat, tema securității regionale apare în 76,7% din declarații, iar NATO este menționat în 73,3% dintre ele (Tabelul 6). Accentul pe apărare și pe alianțe corespunde logicii realiste a echilibrului de putere</w:t>
      </w:r>
      <w:r>
        <w:rPr>
          <w:rStyle w:val="FootnoteReference"/>
        </w:rPr>
        <w:footnoteReference w:id="6"/>
      </w:r>
      <w:r>
        <w:t xml:space="preserve">, dar prezența constantă a normelor internaționale și a UE arată că discursul poate fi citit și prin liberalismul instituțional.</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Judecățile de valoare („foarte bună și curajoasă”, „lașe”) au fost eliminate: limbajul în RI rămâne neutru.</w:t>
      </w:r>
    </w:p>
    <w:p>
      <w:pPr>
        <w:tabs>
          <w:tab w:val="left" w:pos="709"/>
        </w:tabs>
        <w:spacing w:after="60"/>
        <w:ind w:left="709" w:hanging="357" w:firstLine="0"/>
        <w:jc w:val="left"/>
      </w:pPr>
      <w:r>
        <w:t xml:space="preserve">3.	</w:t>
      </w:r>
      <w:r>
        <w:t xml:space="preserve">„Liderii noștri au spus de nenumărate ori” a devenit un rezultat măsurat în corpus, fără citate atribuite.</w:t>
      </w:r>
    </w:p>
    <w:p>
      <w:pPr>
        <w:tabs>
          <w:tab w:val="left" w:pos="709"/>
        </w:tabs>
        <w:spacing w:after="60"/>
        <w:ind w:left="709" w:hanging="357" w:firstLine="0"/>
        <w:jc w:val="left"/>
      </w:pPr>
      <w:r>
        <w:t xml:space="preserve">4.	</w:t>
      </w:r>
      <w:r>
        <w:t xml:space="preserve">Concluzia „realismul are dreptate” a devenit o interpretare prin două teorii, cu nota de subsol pentru sursă.</w:t>
      </w:r>
    </w:p>
    <w:p>
      <w:pPr>
        <w:tabs>
          <w:tab w:val="left" w:pos="709"/>
        </w:tabs>
        <w:spacing w:after="60"/>
        <w:ind w:left="709" w:hanging="357" w:firstLine="0"/>
        <w:jc w:val="left"/>
      </w:pPr>
      <w:r>
        <w:t xml:space="preserve">5.	</w:t>
      </w:r>
      <w:r>
        <w:t xml:space="preserve">Speculația despre intențiile unui stat („toată lumea știe că…”) a fost eliminată: nu poate fi dovedită din corpus.</w:t>
      </w:r>
    </w:p>
    <w:p>
      <w:pPr>
        <w:spacing w:before="360"/>
        <w:ind w:firstLine="0"/>
        <w:jc w:val="left"/>
      </w:pPr>
      <w:r>
        <w:rPr>
          <w:b/>
          <w:bCs/>
        </w:rPr>
        <w:t xml:space="preserve">Vrei aceeași corectare pentru lucrarea ta? </w:t>
      </w:r>
      <w:hyperlink w:history="1" r:id="rIdkn8c0lvivh7pdyjavar3w">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ixcytfdmmr91f6f1k4aon">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gtmuiamgueav3a9vxxevq">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problema internațională, întrebarea de cercetare, ipoteza și metoda. La licență are 2–3 pagini; aici este prescurtată.</w:t>
      </w:r>
    </w:p>
    <w:p>
      <w:r>
        <w:rPr>
          <w:rFonts w:ascii="Arial" w:cs="Arial" w:eastAsia="Arial" w:hAnsi="Arial"/>
          <w:b/>
          <w:bCs/>
          <w:sz w:val="16"/>
          <w:szCs w:val="16"/>
        </w:rPr>
        <w:t xml:space="preserve">Ghid: </w:t>
      </w:r>
      <w:hyperlink w:history="1" r:id="rIdgxo0pmyvgheqn_tra64nf">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La Relații Internaționale, o întrebare de cercetare bună compară sau urmărește o schimbare în timp. „Care este poziția României?” este descriptivă; „cum se schimbă accentele discursului?” cere o analiză.</w:t>
      </w:r>
    </w:p>
    <w:p>
      <w:r>
        <w:rPr>
          <w:rFonts w:ascii="Arial" w:cs="Arial" w:eastAsia="Arial" w:hAnsi="Arial"/>
          <w:b/>
          <w:bCs/>
          <w:sz w:val="16"/>
          <w:szCs w:val="16"/>
        </w:rPr>
        <w:t xml:space="preserve">Ghid: </w:t>
      </w:r>
      <w:hyperlink w:history="1" r:id="rIdkhlufiwgoofgkyph-r2zd">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alege perspectivele cu care vei citi corpusul. Nu prezenta toate teoriile RI; arată ce caută fiecare în discursul tău (ultima coloană a tabelului).</w:t>
      </w:r>
    </w:p>
    <w:p>
      <w:r>
        <w:rPr>
          <w:rFonts w:ascii="Arial" w:cs="Arial" w:eastAsia="Arial" w:hAnsi="Arial"/>
          <w:b/>
          <w:bCs/>
          <w:sz w:val="16"/>
          <w:szCs w:val="16"/>
        </w:rPr>
        <w:t xml:space="preserve">Ghid: </w:t>
      </w:r>
      <w:hyperlink w:history="1" r:id="rId0jkqpmxi32cjbg287wbhp">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Limbajul lucrării rămâne neutru. Descrii ce spune discursul oficial și îl interpretezi prin teorie; nu evaluezi actorii („agresiv”, „curajos”) și nu speculezi despre intențiile liderilor.</w:t>
      </w:r>
    </w:p>
  </w:comment>
  <w:comment w:id="8" w:initials="LR" w:author="Rolul secțiunii" w:date="2026-05-20T10:00:00.000Z">
    <w:p>
      <w:r>
        <w:rPr>
          <w:sz w:val="18"/>
          <w:szCs w:val="18"/>
        </w:rPr>
        <w:t xml:space="preserve">Capitolul descrie pe scurt contextul și apoi corpusul: ce documente, din ce perioadă, de la ce emitenți și după ce criterii au fost alese.</w:t>
      </w:r>
    </w:p>
  </w:comment>
  <w:comment w:id="9" w:initials="LR" w:author="Sfat" w:date="2026-05-20T10:00:00.000Z">
    <w:p>
      <w:r>
        <w:rPr>
          <w:sz w:val="18"/>
          <w:szCs w:val="18"/>
        </w:rPr>
        <w:t xml:space="preserve">Rezoluțiile ONU se citează cu simbolul oficial (de exemplu, A/RES/ES-11/1), titlul și data adoptării. Textul îl iei din biblioteca digitală a ONU, nu din presă.</w:t>
      </w:r>
    </w:p>
  </w:comment>
  <w:comment w:id="10" w:initials="LR" w:author="Greșeală frecventă" w:date="2026-05-20T10:00:00.000Z">
    <w:p>
      <w:r>
        <w:rPr>
          <w:sz w:val="18"/>
          <w:szCs w:val="18"/>
        </w:rPr>
        <w:t xml:space="preserve">Nu inventa și nu reformula citate atribuite unor persoane reale. Într-o lucrare reală, fiecare fragment citat are sursa exactă (emitent, dată, URL oficial); aici fragmentele sunt marcate „corpus fictiv”.</w:t>
      </w:r>
    </w:p>
  </w:comment>
  <w:comment w:id="11" w:initials="LR" w:author="Rolul secțiunii" w:date="2026-05-20T10:00:00.000Z">
    <w:p>
      <w:r>
        <w:rPr>
          <w:sz w:val="18"/>
          <w:szCs w:val="18"/>
        </w:rPr>
        <w:t xml:space="preserve">Capitolul de analiză este contribuția ta: prezinți temele, termenii și actorii, apoi îi interpretezi prin teoriile din capitolul 1 și propui propria lectură. Fiecare afirmație trimite la un tabel sau la un fragment.</w:t>
      </w:r>
    </w:p>
  </w:comment>
  <w:comment w:id="12" w:initials="LR" w:author="Sfat" w:date="2026-05-20T10:00:00.000Z">
    <w:p>
      <w:r>
        <w:rPr>
          <w:sz w:val="18"/>
          <w:szCs w:val="18"/>
        </w:rPr>
        <w:t xml:space="preserve">Periodizarea este o propunere argumentată, nu un fapt. Spune pe ce date se sprijină fiecare etapă și ce ar putea-o infirma (de exemplu, un corpus mai mare sau alte tipuri de documente).</w:t>
      </w:r>
    </w:p>
  </w:comment>
  <w:comment w:id="13" w:initials="LR" w:author="Rolul secțiunii" w:date="2026-05-20T10:00:00.000Z">
    <w:p>
      <w:r>
        <w:rPr>
          <w:sz w:val="18"/>
          <w:szCs w:val="18"/>
        </w:rPr>
        <w:t xml:space="preserve">Concluziile răspund la întrebarea de cercetare, spun dacă ipoteza se confirmă și precizează limitele. Formulările rămân prudente și neutre.</w:t>
      </w:r>
    </w:p>
    <w:p>
      <w:r>
        <w:rPr>
          <w:rFonts w:ascii="Arial" w:cs="Arial" w:eastAsia="Arial" w:hAnsi="Arial"/>
          <w:b/>
          <w:bCs/>
          <w:sz w:val="16"/>
          <w:szCs w:val="16"/>
        </w:rPr>
        <w:t xml:space="preserve">Ghid: </w:t>
      </w:r>
      <w:hyperlink w:history="1" r:id="rIdl-oajoby48cgoxn0j4dgk">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Exemplul folosește stilul Chicago (note de subsol și bibliografie), frecvent la Relații Internaționale; verifică stilul cerut de facultate. Lucrările lui Waltz, Keohane și Nye, Wendt și Buzan, Wæver și de Wilde și rezoluția ONU sunt reale; corpusul de declarații și celelalte surse sunt generice, inventate pentru acest exemplu.</w:t>
      </w:r>
    </w:p>
    <w:p>
      <w:r>
        <w:rPr>
          <w:rFonts w:ascii="Arial" w:cs="Arial" w:eastAsia="Arial" w:hAnsi="Arial"/>
          <w:b/>
          <w:bCs/>
          <w:sz w:val="16"/>
          <w:szCs w:val="16"/>
        </w:rPr>
        <w:t xml:space="preserve">Ghid: </w:t>
      </w:r>
      <w:hyperlink w:history="1" r:id="rId4tivforbjrgt3nfmnjuqz">
        <w:r>
          <w:rPr>
            <w:rFonts w:ascii="Arial" w:cs="Arial" w:eastAsia="Arial" w:hAnsi="Arial"/>
            <w:color w:val="4B7A5E"/>
            <w:sz w:val="16"/>
            <w:szCs w:val="16"/>
            <w:u w:val="single"/>
          </w:rPr>
          <w:t xml:space="preserve">licenta-disertatie-romania.com/resurse/generator-citare-chicago/</w:t>
        </w:r>
      </w:hyperlink>
    </w:p>
  </w:comment>
  <w:comment w:id="15" w:initials="LR" w:author="Rolul secțiunii" w:date="2026-05-20T10:00:00.000Z">
    <w:p>
      <w:r>
        <w:rPr>
          <w:sz w:val="18"/>
          <w:szCs w:val="18"/>
        </w:rPr>
        <w:t xml:space="preserve">Fișa de codificare se pune în anexă, împreună cu lista completă a documentelor din corpus (emitent, dată, titlu, URL oficial).</w:t>
      </w:r>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5weprnscey7jqhtdmn-f1">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ku8o00eip4wkfrn9fw_wb">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cojkdoixkdxhzy89hmyqm">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spacing w:after="40" w:line="240"/>
        <w:ind w:firstLine="0"/>
        <w:jc w:val="both"/>
      </w:pPr>
      <w:r>
        <w:rPr>
          <w:rStyle w:val="FootnoteReference"/>
        </w:rPr>
        <w:footnoteRef/>
      </w:r>
      <w:r>
        <w:rPr>
          <w:sz w:val="19"/>
          <w:szCs w:val="19"/>
        </w:rPr>
        <w:t xml:space="preserve">Kenneth N. Waltz, </w:t>
      </w:r>
      <w:r>
        <w:rPr>
          <w:i/>
          <w:iCs/>
          <w:sz w:val="19"/>
          <w:szCs w:val="19"/>
        </w:rPr>
        <w:t xml:space="preserve">Theory of International Politics</w:t>
      </w:r>
      <w:r>
        <w:rPr>
          <w:sz w:val="19"/>
          <w:szCs w:val="19"/>
        </w:rPr>
        <w:t xml:space="preserve"> (Reading, MA: Addison-Wesley, 1979).</w:t>
      </w:r>
    </w:p>
  </w:footnote>
  <w:footnote w:id="2">
    <w:p>
      <w:pPr>
        <w:spacing w:after="40" w:line="240"/>
        <w:ind w:firstLine="0"/>
        <w:jc w:val="both"/>
      </w:pPr>
      <w:r>
        <w:rPr>
          <w:rStyle w:val="FootnoteReference"/>
        </w:rPr>
        <w:footnoteRef/>
      </w:r>
      <w:r>
        <w:rPr>
          <w:sz w:val="19"/>
          <w:szCs w:val="19"/>
        </w:rPr>
        <w:t xml:space="preserve">Robert O. Keohane și Joseph S. Nye, </w:t>
      </w:r>
      <w:r>
        <w:rPr>
          <w:i/>
          <w:iCs/>
          <w:sz w:val="19"/>
          <w:szCs w:val="19"/>
        </w:rPr>
        <w:t xml:space="preserve">Power and Interdependence</w:t>
      </w:r>
      <w:r>
        <w:rPr>
          <w:sz w:val="19"/>
          <w:szCs w:val="19"/>
        </w:rPr>
        <w:t xml:space="preserve"> (Boston: Little, Brown, 1977).</w:t>
      </w:r>
    </w:p>
  </w:footnote>
  <w:footnote w:id="3">
    <w:p>
      <w:pPr>
        <w:spacing w:after="40" w:line="240"/>
        <w:ind w:firstLine="0"/>
        <w:jc w:val="both"/>
      </w:pPr>
      <w:r>
        <w:rPr>
          <w:rStyle w:val="FootnoteReference"/>
        </w:rPr>
        <w:footnoteRef/>
      </w:r>
      <w:r>
        <w:rPr>
          <w:sz w:val="19"/>
          <w:szCs w:val="19"/>
        </w:rPr>
        <w:t xml:space="preserve">Alexander Wendt, „Anarchy Is What States Make of It: The Social Construction of Power Politics”, </w:t>
      </w:r>
      <w:r>
        <w:rPr>
          <w:i/>
          <w:iCs/>
          <w:sz w:val="19"/>
          <w:szCs w:val="19"/>
        </w:rPr>
        <w:t xml:space="preserve">International Organization</w:t>
      </w:r>
      <w:r>
        <w:rPr>
          <w:sz w:val="19"/>
          <w:szCs w:val="19"/>
        </w:rPr>
        <w:t xml:space="preserve"> 46, nr. 2 (1992): 391–425.</w:t>
      </w:r>
    </w:p>
  </w:footnote>
  <w:footnote w:id="4">
    <w:p>
      <w:pPr>
        <w:spacing w:after="40" w:line="240"/>
        <w:ind w:firstLine="0"/>
        <w:jc w:val="both"/>
      </w:pPr>
      <w:r>
        <w:rPr>
          <w:rStyle w:val="FootnoteReference"/>
        </w:rPr>
        <w:footnoteRef/>
      </w:r>
      <w:r>
        <w:rPr>
          <w:sz w:val="19"/>
          <w:szCs w:val="19"/>
        </w:rPr>
        <w:t xml:space="preserve">Barry Buzan, Ole Wæver și Jaap de Wilde, </w:t>
      </w:r>
      <w:r>
        <w:rPr>
          <w:i/>
          <w:iCs/>
          <w:sz w:val="19"/>
          <w:szCs w:val="19"/>
        </w:rPr>
        <w:t xml:space="preserve">Security: A New Framework for Analysis</w:t>
      </w:r>
      <w:r>
        <w:rPr>
          <w:sz w:val="19"/>
          <w:szCs w:val="19"/>
        </w:rPr>
        <w:t xml:space="preserve"> (Boulder, CO: Lynne Rienner, 1998).</w:t>
      </w:r>
    </w:p>
  </w:footnote>
  <w:footnote w:id="5">
    <w:p>
      <w:pPr>
        <w:spacing w:after="40" w:line="240"/>
        <w:ind w:firstLine="0"/>
        <w:jc w:val="both"/>
      </w:pPr>
      <w:r>
        <w:rPr>
          <w:rStyle w:val="FootnoteReference"/>
        </w:rPr>
        <w:footnoteRef/>
      </w:r>
      <w:r>
        <w:rPr>
          <w:sz w:val="19"/>
          <w:szCs w:val="19"/>
        </w:rPr>
        <w:t xml:space="preserve">Adunarea Generală a ONU, Rezoluția A/RES/ES-11/1, „Aggression against Ukraine”, adoptată la 2 martie 2022.</w:t>
      </w:r>
    </w:p>
  </w:footnote>
  <w:footnote w:id="6">
    <w:p>
      <w:pPr>
        <w:spacing w:after="40" w:line="240"/>
        <w:ind w:firstLine="0"/>
        <w:jc w:val="both"/>
      </w:pPr>
      <w:r>
        <w:rPr>
          <w:rStyle w:val="FootnoteReference"/>
        </w:rPr>
        <w:footnoteRef/>
      </w:r>
      <w:r>
        <w:rPr>
          <w:sz w:val="19"/>
          <w:szCs w:val="19"/>
        </w:rPr>
        <w:t xml:space="preserve">Kenneth N. Waltz, </w:t>
      </w:r>
      <w:r>
        <w:rPr>
          <w:i/>
          <w:iCs/>
          <w:sz w:val="19"/>
          <w:szCs w:val="19"/>
        </w:rPr>
        <w:t xml:space="preserve">Theory of International Politics</w:t>
      </w:r>
      <w:r>
        <w:rPr>
          <w:sz w:val="19"/>
          <w:szCs w:val="19"/>
        </w:rPr>
        <w:t xml:space="preserve"> (Reading, MA: Addison-Wesley, 1979).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ixcytfdmmr91f6f1k4aon" Type="http://schemas.openxmlformats.org/officeDocument/2006/relationships/hyperlink" Target="https://licenta-disertatie-romania.com/blog/cuprins-lucrare-licenta/" TargetMode="External"/><Relationship Id="rIdgtmuiamgueav3a9vxxevq" Type="http://schemas.openxmlformats.org/officeDocument/2006/relationships/hyperlink" Target="https://licenta-disertatie-romania.com/blog/formatare-lucrare-licenta/" TargetMode="External"/><Relationship Id="rIdgxo0pmyvgheqn_tra64nf" Type="http://schemas.openxmlformats.org/officeDocument/2006/relationships/hyperlink" Target="https://licenta-disertatie-romania.com/blog/introducere-lucrare-licenta/" TargetMode="External"/><Relationship Id="rIdkhlufiwgoofgkyph-r2zd" Type="http://schemas.openxmlformats.org/officeDocument/2006/relationships/hyperlink" Target="https://licenta-disertatie-romania.com/blog/ipoteze-obiective-lucrare-licenta/" TargetMode="External"/><Relationship Id="rId0jkqpmxi32cjbg287wbhp" Type="http://schemas.openxmlformats.org/officeDocument/2006/relationships/hyperlink" Target="https://licenta-disertatie-romania.com/blog/structura-lucrare-licenta/" TargetMode="External"/><Relationship Id="rIdl-oajoby48cgoxn0j4dgk" Type="http://schemas.openxmlformats.org/officeDocument/2006/relationships/hyperlink" Target="https://licenta-disertatie-romania.com/blog/concluzii-lucrare-licenta/" TargetMode="External"/><Relationship Id="rId4tivforbjrgt3nfmnjuqz" Type="http://schemas.openxmlformats.org/officeDocument/2006/relationships/hyperlink" Target="https://licenta-disertatie-romania.com/resurse/generator-citare-chicago/" TargetMode="External"/><Relationship Id="rId5weprnscey7jqhtdmn-f1"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kn8c0lvivh7pdyjavar3w" Type="http://schemas.openxmlformats.org/officeDocument/2006/relationships/hyperlink" Target="https://licenta-disertatie-romania.com/contact/" TargetMode="External"/><Relationship Id="rId10" Type="http://schemas.openxmlformats.org/officeDocument/2006/relationships/image" Target="media/50a7843c7f06d39506f52b94e9698b1bf1e21400.png"/><Relationship Id="rId11" Type="http://schemas.openxmlformats.org/officeDocument/2006/relationships/image" Target="media/efa66ca7d2a8a98ffb6abc03f96e1f5051d9c234.png"/><Relationship Id="rId12" Type="http://schemas.openxmlformats.org/officeDocument/2006/relationships/image" Target="media/b2968397508de4b4b907c92405fb73d3050a037b.png"/><Relationship Id="rId13" Type="http://schemas.openxmlformats.org/officeDocument/2006/relationships/image" Target="media/ac094e8401349042d006a10c303cadf2e59775be.png"/><Relationship Id="rId14" Type="http://schemas.openxmlformats.org/officeDocument/2006/relationships/image" Target="media/ec758bf319798fe9fe2b421b668b22db98096580.png"/><Relationship Id="rId15" Type="http://schemas.openxmlformats.org/officeDocument/2006/relationships/image" Target="media/28641c4c88028d9e6031d2a275b43dccce8d227c.png"/><Relationship Id="rId16" Type="http://schemas.openxmlformats.org/officeDocument/2006/relationships/image" Target="media/ed723c752f234c7e2d4be5151724a7a45477fd90.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8o00eip4wkfrn9fw_wb"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cojkdoixkdxhzy89hmyqm"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Relații Internaționale</dc:title>
  <dc:creator>Licenta RO</dc:creator>
  <dc:description>Exemplu fictiv cu date simulate: licenta-disertatie-romania.com</dc:description>
  <cp:lastModifiedBy>Un-named</cp:lastModifiedBy>
  <cp:revision>1</cp:revision>
  <dcterms:created xsi:type="dcterms:W3CDTF">2026-10-05T20:23:53.137Z</dcterms:created>
  <dcterms:modified xsi:type="dcterms:W3CDTF">2026-10-05T20:23:53.138Z</dcterms:modified>
</cp:coreProperties>
</file>

<file path=docProps/custom.xml><?xml version="1.0" encoding="utf-8"?>
<Properties xmlns="http://schemas.openxmlformats.org/officeDocument/2006/custom-properties" xmlns:vt="http://schemas.openxmlformats.org/officeDocument/2006/docPropsVTypes"/>
</file>