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firstLine="0"/>
        <w:jc w:val="center"/>
      </w:pPr>
      <w:r>
        <w:rPr>
          <w:b/>
          <w:bCs/>
          <w:i w:val="false"/>
          <w:iCs w:val="false"/>
        </w:rPr>
        <w:t xml:space="preserve">UNIVERSITATEA [NUMELE UNIVERSITĂȚII]</w:t>
      </w:r>
    </w:p>
    <w:p>
      <w:pPr>
        <w:spacing w:after="0" w:before="0"/>
        <w:ind w:firstLine="0"/>
        <w:jc w:val="center"/>
      </w:pPr>
      <w:r>
        <w:rPr>
          <w:b/>
          <w:bCs/>
          <w:i w:val="false"/>
          <w:iCs w:val="false"/>
        </w:rPr>
        <w:t xml:space="preserve">FACULTATEA DE MEDICINĂ</w:t>
      </w:r>
    </w:p>
    <w:p>
      <w:pPr>
        <w:spacing w:after="0" w:before="60"/>
        <w:ind w:firstLine="0"/>
        <w:jc w:val="center"/>
      </w:pPr>
      <w:r>
        <w:rPr>
          <w:b w:val="false"/>
          <w:bCs w:val="false"/>
          <w:i w:val="false"/>
          <w:iCs w:val="false"/>
        </w:rPr>
        <w:t xml:space="preserve">Programul de studii: Medicină</w:t>
      </w:r>
    </w:p>
    <w:p>
      <w:pPr>
        <w:spacing w:after="0" w:before="2600"/>
        <w:ind w:firstLin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LUCRARE DE LICENȚĂ</w:t>
      </w:r>
    </w:p>
    <w:p>
      <w:pPr>
        <w:spacing w:after="0" w:before="300"/>
        <w:ind w:firstLine="0"/>
        <w:jc w:val="center"/>
      </w:pPr>
      <w:r>
        <w:rPr>
          <w:b/>
          <w:bCs/>
          <w:i w:val="false"/>
          <w:iCs w:val="false"/>
          <w:sz w:val="30"/>
          <w:szCs w:val="30"/>
        </w:rPr>
        <w:t xml:space="preserve">Studiu retrospectiv al pneumoniei comunitare la adult</w:t>
      </w:r>
    </w:p>
    <w:p>
      <w:pPr>
        <w:spacing w:after="0" w:before="120"/>
        <w:ind w:firstLine="0"/>
        <w:jc w:val="center"/>
      </w:pPr>
      <w:r>
        <w:rPr>
          <w:b w:val="false"/>
          <w:bCs w:val="false"/>
          <w:i/>
          <w:iCs/>
          <w:sz w:val="24"/>
          <w:szCs w:val="24"/>
        </w:rPr>
        <w:t xml:space="preserve">Severitatea la internare, comorbiditățile și evoluția pacienților dintr-o secție de medicină internă</w:t>
      </w:r>
    </w:p>
    <w:p>
      <w:pPr>
        <w:spacing w:after="0" w:before="400"/>
        <w:ind w:firstLine="0"/>
        <w:jc w:val="center"/>
      </w:pPr>
      <w:r>
        <w:rPr>
          <w:b w:val="false"/>
          <w:bCs w:val="false"/>
          <w:i/>
          <w:iCs/>
          <w:color w:val="4B7A5E"/>
          <w:sz w:val="18"/>
          <w:szCs w:val="18"/>
        </w:rPr>
        <w:t xml:space="preserve">EXEMPLU FICTIV – structura, tabelele și figurile unei lucrări de licență. Datele sunt simulate.</w:t>
      </w:r>
    </w:p>
    <w:p>
      <w:pPr>
        <w:spacing w:before="2000"/>
        <w:ind w:firstLine="0"/>
        <w:jc w:val="left"/>
      </w:pPr>
      <w:r>
        <w:rPr>
          <w:b/>
          <w:bCs/>
        </w:rPr>
        <w:t xml:space="preserve">Coordonator științific:</w:t>
      </w:r>
    </w:p>
    <w:p>
      <w:pPr>
        <w:ind w:firstLine="0"/>
        <w:jc w:val="left"/>
      </w:pPr>
      <w:r>
        <w:t xml:space="preserve">Prof. univ. dr. Adrian Ilie (nume fictiv)</w:t>
      </w:r>
    </w:p>
    <w:p>
      <w:pPr>
        <w:spacing w:before="300"/>
        <w:ind w:firstLine="0"/>
        <w:jc w:val="right"/>
      </w:pPr>
      <w:r>
        <w:rPr>
          <w:b/>
          <w:bCs/>
        </w:rPr>
        <w:t xml:space="preserve">Absolvent:</w:t>
      </w:r>
    </w:p>
    <w:p>
      <w:pPr>
        <w:ind w:firstLine="0"/>
        <w:jc w:val="right"/>
      </w:pPr>
      <w:r>
        <w:t xml:space="preserve">Andrei Munteanu (nume fictiv)</w:t>
      </w:r>
    </w:p>
    <w:p>
      <w:pPr>
        <w:spacing w:after="0" w:before="1800"/>
        <w:ind w:firstLine="0"/>
        <w:jc w:val="center"/>
      </w:pPr>
      <w:r>
        <w:rPr>
          <w:b/>
          <w:bCs/>
          <w:i w:val="false"/>
          <w:iCs w:val="false"/>
        </w:rPr>
        <w:t xml:space="preserve">TIMIȘOARA, 2026</w:t>
      </w:r>
    </w:p>
    <w:p>
      <w:pPr>
        <w:pageBreakBefore/>
        <w:spacing w:after="400"/>
        <w:ind w:firstLine="0"/>
        <w:jc w:val="center"/>
      </w:pPr>
      <w:r>
        <w:rPr>
          <w:b/>
          <w:bCs/>
          <w:sz w:val="28"/>
          <w:szCs w:val="28"/>
        </w:rPr>
        <w:t xml:space="preserve">DECLARAȚIE DE AUTENTICITATE</w:t>
      </w:r>
    </w:p>
    <w:p>
      <w:r>
        <w:t xml:space="preserve">Subsemnatul(a) </w:t>
      </w:r>
      <w:r>
        <w:rPr>
          <w:b/>
          <w:bCs/>
        </w:rPr>
        <w:t xml:space="preserve">Andrei Munteanu</w:t>
      </w:r>
      <w:r>
        <w:t xml:space="preserve">, absolvent(ă) al(a) programului de studii Medicină, declar pe propria răspundere că lucrarea de licență cu titlul „Studiu retrospectiv al pneumoniei comunitare la adult” a fost elaborată de mine, sub îndrumarea coordonatorului științific, nu a mai fost prezentată la o altă facultate sau instituție de învățământ superior și că toate sursele folosite, inclusiv cele de pe internet, sunt citate în lucrare, cu respectarea regulilor privind drepturile de autor.</w:t>
      </w:r>
    </w:p>
    <w:p>
      <w:pPr>
        <w:spacing w:before="600"/>
        <w:ind w:firstLine="0"/>
        <w:jc w:val="left"/>
      </w:pPr>
      <w:r>
        <w:t xml:space="preserve">Data: [data]</w:t>
      </w:r>
    </w:p>
    <w:p>
      <w:pPr>
        <w:ind w:firstLine="0"/>
        <w:jc w:val="right"/>
      </w:pPr>
      <w:commentRangeStart w:id="0"/>
      <w:r>
        <w:t xml:space="preserve">Semnătura: [semnătura]</w:t>
      </w:r>
      <w:commentRangeEnd w:id="0"/>
      <w:r>
        <w:commentReference w:id="0"/>
      </w:r>
    </w:p>
    <w:p>
      <w:pPr>
        <w:pageBreakBefore/>
        <w:spacing w:after="300"/>
        <w:ind w:firstLine="0"/>
        <w:jc w:val="center"/>
      </w:pPr>
      <w:commentRangeStart w:id="1"/>
      <w:r>
        <w:rPr>
          <w:b/>
          <w:bCs/>
          <w:sz w:val="28"/>
          <w:szCs w:val="28"/>
        </w:rPr>
        <w:t xml:space="preserve">CUPRINS</w:t>
      </w:r>
      <w:commentRangeEnd w:id="1"/>
      <w:r>
        <w:commentReference w:id="1"/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Lista figurilor și a tabelelor</w:t>
      </w:r>
      <w:r>
        <w:t xml:space="preserve">	4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Rezumat</w:t>
      </w:r>
      <w:r>
        <w:t xml:space="preserve">	5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Lista abrevierilor</w:t>
      </w:r>
      <w:r>
        <w:t xml:space="preserve">	6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Introducere</w:t>
      </w:r>
      <w:r>
        <w:t xml:space="preserve">	7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Capitolul 1. Pneumonia comunitară: date din literatură</w:t>
      </w:r>
      <w:r>
        <w:t xml:space="preserve">	8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1.1. Definiție și etiologie</w:t>
      </w:r>
      <w:r>
        <w:t xml:space="preserve">	8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1.2. Factori de risc</w:t>
      </w:r>
      <w:r>
        <w:t xml:space="preserve">	8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1.3. Diagnostic și evaluarea severității</w:t>
      </w:r>
      <w:r>
        <w:t xml:space="preserve">	9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Capitolul 2. Material și metodă</w:t>
      </w:r>
      <w:r>
        <w:t xml:space="preserve">	10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2.1. Tipul studiului și lotul</w:t>
      </w:r>
      <w:r>
        <w:t xml:space="preserve">	10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2.2. Variabile și analiză statistică</w:t>
      </w:r>
      <w:r>
        <w:t xml:space="preserve">	10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Capitolul 3. Rezultate și discuții</w:t>
      </w:r>
      <w:r>
        <w:t xml:space="preserve">	11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3.1. Caracteristicile lotului</w:t>
      </w:r>
      <w:r>
        <w:t xml:space="preserve">	11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3.2. Comorbiditățile</w:t>
      </w:r>
      <w:r>
        <w:t xml:space="preserve">	11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3.3. Severitatea la internare și evoluția</w:t>
      </w:r>
      <w:r>
        <w:t xml:space="preserve">	12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3.4. Durata spitalizării</w:t>
      </w:r>
      <w:r>
        <w:t xml:space="preserve">	13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3.5. Discuții</w:t>
      </w:r>
      <w:r>
        <w:t xml:space="preserve">	14</w:t>
      </w:r>
    </w:p>
    <w:p>
      <w:pPr>
        <w:tabs>
          <w:tab w:val="right" w:pos="9026" w:leader="dot"/>
        </w:tabs>
        <w:spacing w:after="40" w:line="300"/>
        <w:ind w:left="400" w:firstLine="0"/>
        <w:jc w:val="left"/>
      </w:pPr>
      <w:r>
        <w:rPr>
          <w:b w:val="false"/>
          <w:bCs w:val="false"/>
        </w:rPr>
        <w:t xml:space="preserve">3.6. Concluziile autorului</w:t>
      </w:r>
      <w:r>
        <w:t xml:space="preserve">	14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Concluzii</w:t>
      </w:r>
      <w:r>
        <w:t xml:space="preserve">	15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Bibliografie</w:t>
      </w:r>
      <w:r>
        <w:t xml:space="preserve">	16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Anexa 1. Fișa de colectare a datelor</w:t>
      </w:r>
      <w:r>
        <w:t xml:space="preserve">	17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/>
          <w:bCs/>
        </w:rPr>
        <w:t xml:space="preserve">Bonus: același paragraf, înainte și după corectare</w:t>
      </w:r>
      <w:r>
        <w:t xml:space="preserve">	18</w:t>
      </w:r>
    </w:p>
    <w:p>
      <w:pPr>
        <w:pStyle w:val="Heading1"/>
        <w:pageBreakBefore/>
      </w:pPr>
      <w:commentRangeStart w:id="2"/>
      <w:r>
        <w:t xml:space="preserve">Lista figurilor și a tabelelor</w:t>
      </w:r>
      <w:commentRangeEnd w:id="2"/>
      <w:r>
        <w:commentReference w:id="2"/>
      </w:r>
    </w:p>
    <w:p>
      <w:pPr>
        <w:spacing w:after="120"/>
        <w:ind w:firstLine="0"/>
        <w:jc w:val="left"/>
      </w:pPr>
      <w:r>
        <w:rPr>
          <w:b/>
          <w:bCs/>
        </w:rPr>
        <w:t xml:space="preserve">Lista figurilor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Figura 1. Factori de risc pentru pneumonia comunitară la adult</w:t>
      </w:r>
      <w:r>
        <w:t xml:space="preserve">	8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Figura 2. Etapele diagnosticului și ale evaluării severității</w:t>
      </w:r>
      <w:r>
        <w:t xml:space="preserve">	9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Figura 3. Etapele studiului</w:t>
      </w:r>
      <w:r>
        <w:t xml:space="preserve">	10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Figura 4. Comorbiditatea principală a pacienților (%)</w:t>
      </w:r>
      <w:r>
        <w:t xml:space="preserve">	12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Figura 5. Distribuția pacienților pe clase de risc CURB-65</w:t>
      </w:r>
      <w:r>
        <w:t xml:space="preserve">	12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Figura 6. Pacienții cu complicații în fiecare clasă de risc CURB-65 (%)</w:t>
      </w:r>
      <w:r>
        <w:t xml:space="preserve">	13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Figura 7. Durata spitalizării la cele două grupe de vârstă</w:t>
      </w:r>
      <w:r>
        <w:t xml:space="preserve">	13</w:t>
      </w:r>
    </w:p>
    <w:p>
      <w:pPr>
        <w:spacing w:after="120" w:before="300"/>
        <w:ind w:firstLine="0"/>
        <w:jc w:val="left"/>
      </w:pPr>
      <w:r>
        <w:rPr>
          <w:b/>
          <w:bCs/>
        </w:rPr>
        <w:t xml:space="preserve">Lista tabelelor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1. Abrevieri folosite în lucrare</w:t>
      </w:r>
      <w:r>
        <w:t xml:space="preserve">	6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2. Agenții etiologici ai pneumoniei comunitare la adult</w:t>
      </w:r>
      <w:r>
        <w:t xml:space="preserve">	8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3. Scorul CURB-65: criterii și interpretare</w:t>
      </w:r>
      <w:r>
        <w:t xml:space="preserve">	9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4. Criteriile de includere și de excludere</w:t>
      </w:r>
      <w:r>
        <w:t xml:space="preserve">	10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5. Caracteristicile lotului studiat</w:t>
      </w:r>
      <w:r>
        <w:t xml:space="preserve">	11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6. Comorbiditatea principală a pacienților</w:t>
      </w:r>
      <w:r>
        <w:t xml:space="preserve">	11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7. Evoluția pacienților în funcție de clasa de risc CURB-65</w:t>
      </w:r>
      <w:r>
        <w:t xml:space="preserve">	12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8. Durata spitalizării în funcție de grupa de vârstă</w:t>
      </w:r>
      <w:r>
        <w:t xml:space="preserve">	13</w:t>
      </w:r>
    </w:p>
    <w:p>
      <w:pPr>
        <w:tabs>
          <w:tab w:val="right" w:pos="9026" w:leader="dot"/>
        </w:tabs>
        <w:spacing w:after="40" w:line="300"/>
        <w:ind w:left="0" w:firstLine="0"/>
        <w:jc w:val="left"/>
      </w:pPr>
      <w:r>
        <w:rPr>
          <w:b w:val="false"/>
          <w:bCs w:val="false"/>
        </w:rPr>
        <w:t xml:space="preserve">Tabelul 9. Sinteza rezultatelor în raport cu obiectivele</w:t>
      </w:r>
      <w:r>
        <w:t xml:space="preserve">	14</w:t>
      </w:r>
    </w:p>
    <w:p>
      <w:pPr>
        <w:pStyle w:val="Heading1"/>
        <w:pageBreakBefore/>
      </w:pPr>
      <w:commentRangeStart w:id="3"/>
      <w:r>
        <w:t xml:space="preserve">Rezumat</w:t>
      </w:r>
      <w:commentRangeEnd w:id="3"/>
      <w:r>
        <w:commentReference w:id="3"/>
      </w:r>
    </w:p>
    <w:p>
      <w:r>
        <w:t xml:space="preserve">Pneumonia comunitară este o cauză frecventă de internare la adult, iar evaluarea severității la internare orientează îngrijirea pacientului. Studiul retrospectiv a analizat 120 de foi de observație ale pacienților internați cu pneumonie comunitară într-o secție de medicină internă (date simulate). Au fost urmărite vârsta, comorbiditatea principală, scorul CURB-65 la internare, complicațiile și durata spitalizării, analizate prin statistici descriptive, testul χ² și testul t. Majoritatea pacienților aveau 65 de ani și peste, iar hipertensiunea arterială a fost cea mai frecventă comorbiditate. Proporția pacienților cu complicații a crescut odată cu clasa de risc CURB-65, iar vârstnicii au avut o durată a spitalizării mai mare. Autorul recomandă notarea sistematică a scorului CURB-65 la internare și reevaluarea timpurie a pacienților cu risc intermediar și crescut.</w:t>
      </w:r>
    </w:p>
    <w:p>
      <w:pPr>
        <w:spacing w:after="400"/>
        <w:ind w:firstLine="0"/>
        <w:jc w:val="left"/>
      </w:pPr>
      <w:r>
        <w:rPr>
          <w:b/>
          <w:bCs/>
        </w:rPr>
        <w:t xml:space="preserve">Cuvinte-cheie:</w:t>
      </w:r>
      <w:r>
        <w:t xml:space="preserve"> pneumonie comunitară, CURB-65, comorbidități, durata spitalizării, studiu retrospectiv</w:t>
      </w:r>
    </w:p>
    <w:p>
      <w:pPr>
        <w:spacing w:after="200"/>
        <w:ind w:firstLine="0"/>
        <w:jc w:val="center"/>
      </w:pPr>
      <w:r>
        <w:rPr>
          <w:b/>
          <w:bCs/>
          <w:color w:val="16233F"/>
          <w:sz w:val="26"/>
          <w:szCs w:val="26"/>
        </w:rPr>
        <w:t xml:space="preserve">Abstract</w:t>
      </w:r>
    </w:p>
    <w:p>
      <w:r>
        <w:t xml:space="preserve">Community-acquired pneumonia is a common cause of hospital admission in adults, and assessing severity on admission guides patient care. This retrospective study reviewed 120 medical records of patients admitted with community-acquired pneumonia to an internal medicine ward (simulated data). Age, main comorbidity, CURB-65 score on admission, complications and length of stay were recorded and analysed using descriptive statistics, the chi-square test and the t-test. Most patients were aged 65 or older, and hypertension was the most frequent comorbidity. The proportion of patients with complications increased with the CURB-65 risk class, and older patients had a longer hospital stay. The author recommends recording the CURB-65 score systematically on admission and reassessing patients in the intermediate and high-risk classes early.</w:t>
      </w:r>
    </w:p>
    <w:p>
      <w:pPr>
        <w:ind w:firstLine="0"/>
        <w:jc w:val="left"/>
      </w:pPr>
      <w:r>
        <w:rPr>
          <w:b/>
          <w:bCs/>
        </w:rPr>
        <w:t xml:space="preserve">Keywords:</w:t>
      </w:r>
      <w:r>
        <w:t xml:space="preserve"> community-acquired pneumonia, CURB-65, comorbidities, length of stay, retrospective study</w:t>
      </w:r>
    </w:p>
    <w:p>
      <w:pPr>
        <w:pStyle w:val="Heading1"/>
        <w:pageBreakBefore/>
      </w:pPr>
      <w:commentRangeStart w:id="4"/>
      <w:r>
        <w:t xml:space="preserve">Lista abrevierilor</w:t>
      </w:r>
      <w:commentRangeEnd w:id="4"/>
      <w:r>
        <w:commentReference w:id="4"/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1.</w:t>
      </w:r>
      <w:r>
        <w:rPr>
          <w:sz w:val="22"/>
          <w:szCs w:val="22"/>
        </w:rPr>
        <w:t xml:space="preserve"> Abrevieri folosite în lucrare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67"/>
        <w:gridCol w:w="6803"/>
      </w:tblGrid>
      <w:tr>
        <w:trPr>
          <w:tblHeader/>
        </w:trPr>
        <w:tc>
          <w:tcPr>
            <w:tcW w:type="dxa" w:w="2267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Abreviere</w:t>
            </w:r>
          </w:p>
        </w:tc>
        <w:tc>
          <w:tcPr>
            <w:tcW w:type="dxa" w:w="6803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Semnificație</w:t>
            </w:r>
          </w:p>
        </w:tc>
      </w:tr>
      <w:tr>
        <w:trPr>
          <w:cantSplit/>
        </w:trPr>
        <w:tc>
          <w:tcPr>
            <w:tcW w:type="dxa" w:w="226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BPOC</w:t>
            </w:r>
          </w:p>
        </w:tc>
        <w:tc>
          <w:tcPr>
            <w:tcW w:type="dxa" w:w="6803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bronhopneumopatie obstructivă cronică</w:t>
            </w:r>
          </w:p>
        </w:tc>
      </w:tr>
      <w:tr>
        <w:trPr>
          <w:cantSplit/>
        </w:trPr>
        <w:tc>
          <w:tcPr>
            <w:tcW w:type="dxa" w:w="226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CURB-65</w:t>
            </w:r>
          </w:p>
        </w:tc>
        <w:tc>
          <w:tcPr>
            <w:tcW w:type="dxa" w:w="6803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scor de severitate: confuzie, uree, frecvență respiratorie, tensiune arterială, vârsta ≥ 65 de ani</w:t>
            </w:r>
          </w:p>
        </w:tc>
      </w:tr>
      <w:tr>
        <w:trPr>
          <w:cantSplit/>
        </w:trPr>
        <w:tc>
          <w:tcPr>
            <w:tcW w:type="dxa" w:w="226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PC</w:t>
            </w:r>
          </w:p>
        </w:tc>
        <w:tc>
          <w:tcPr>
            <w:tcW w:type="dxa" w:w="6803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pneumonie comunitară</w:t>
            </w:r>
          </w:p>
        </w:tc>
      </w:tr>
      <w:tr>
        <w:trPr>
          <w:cantSplit/>
        </w:trPr>
        <w:tc>
          <w:tcPr>
            <w:tcW w:type="dxa" w:w="226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TA</w:t>
            </w:r>
          </w:p>
        </w:tc>
        <w:tc>
          <w:tcPr>
            <w:tcW w:type="dxa" w:w="6803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tensiune arterială</w:t>
            </w:r>
          </w:p>
        </w:tc>
      </w:tr>
    </w:tbl>
    <w:p>
      <w:pPr>
        <w:spacing w:after="200" w:before="40" w:line="240"/>
        <w:ind w:firstLine="0"/>
        <w:jc w:val="left"/>
      </w:pPr>
      <w:r>
        <w:rPr>
          <w:i/>
          <w:iCs/>
          <w:color w:val="7A8191"/>
          <w:sz w:val="18"/>
          <w:szCs w:val="18"/>
        </w:rPr>
        <w:t xml:space="preserve">Sursa: Lista proprie.</w:t>
      </w:r>
    </w:p>
    <w:p>
      <w:pPr>
        <w:pStyle w:val="Heading1"/>
        <w:pageBreakBefore/>
      </w:pPr>
      <w:commentRangeStart w:id="5"/>
      <w:r>
        <w:t xml:space="preserve">Introducere</w:t>
      </w:r>
      <w:commentRangeEnd w:id="5"/>
      <w:r>
        <w:commentReference w:id="5"/>
      </w:r>
    </w:p>
    <w:p>
      <w:r>
        <w:t xml:space="preserve">Pneumonia comunitară (PC) este una dintre cele mai frecvente cauze de internare în secțiile de medicină internă și o cauză importantă de deces prin boli infecțioase, mai ales la vârstnici [1]. Evaluarea severității la internare, de exemplu cu scorul CURB-65, ajută medicul să decidă unde și cât de atent este urmărit pacientul [2].</w:t>
      </w:r>
    </w:p>
    <w:p>
      <w:r>
        <w:rPr>
          <w:b/>
          <w:bCs/>
        </w:rPr>
        <w:t xml:space="preserve">Ipoteza de lucru</w:t>
      </w:r>
      <w:r>
        <w:t xml:space="preserve"> este că pacienții cu un scor CURB-65 mai mare la internare au mai des complicații pe durata spitalizării. Obiectivele studiului sunt: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1.	</w:t>
      </w:r>
      <w:r>
        <w:t xml:space="preserve">descrierea profilului demografic al pacienților internați cu PC;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2.	</w:t>
      </w:r>
      <w:r>
        <w:t xml:space="preserve">identificarea comorbidităților asociate;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3.	</w:t>
      </w:r>
      <w:r>
        <w:t xml:space="preserve">analiza relației dintre clasa de risc CURB-65 și evoluția pacienților;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commentRangeStart w:id="6"/>
      <w:r>
        <w:t xml:space="preserve">4.	</w:t>
      </w:r>
      <w:r>
        <w:t xml:space="preserve">compararea duratei spitalizării la pacienții sub 65 de ani și la vârstnici.</w:t>
      </w:r>
      <w:commentRangeEnd w:id="6"/>
      <w:r>
        <w:commentReference w:id="6"/>
      </w:r>
    </w:p>
    <w:p>
      <w:pPr>
        <w:pStyle w:val="Heading1"/>
        <w:pageBreakBefore/>
      </w:pPr>
      <w:commentRangeStart w:id="7"/>
      <w:r>
        <w:t xml:space="preserve">Capitolul 1. Pneumonia comunitară: date din literatură</w:t>
      </w:r>
      <w:commentRangeEnd w:id="7"/>
      <w:r>
        <w:commentReference w:id="7"/>
      </w:r>
    </w:p>
    <w:p>
      <w:pPr>
        <w:pStyle w:val="Heading2"/>
        <w:keepNext/>
      </w:pPr>
      <w:r>
        <w:t xml:space="preserve">1.1. Definiție și etiologie</w:t>
      </w:r>
    </w:p>
    <w:p>
      <w:r>
        <w:t xml:space="preserve">PC este infecția acută a parenchimului pulmonar dobândită în afara spitalului, la o persoană care nu a fost internată recent [1]. Agenții etiologici sunt prezentați în Tabelul 2; numele speciilor se scriu cu italic.</w:t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2.</w:t>
      </w:r>
      <w:r>
        <w:rPr>
          <w:sz w:val="22"/>
          <w:szCs w:val="22"/>
        </w:rPr>
        <w:t xml:space="preserve"> Agenții etiologici ai pneumoniei comunitare la adult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8"/>
        <w:gridCol w:w="3382"/>
        <w:gridCol w:w="3689"/>
      </w:tblGrid>
      <w:tr>
        <w:trPr>
          <w:tblHeader/>
        </w:trPr>
        <w:tc>
          <w:tcPr>
            <w:tcW w:type="dxa" w:w="1998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Grupa</w:t>
            </w:r>
          </w:p>
        </w:tc>
        <w:tc>
          <w:tcPr>
            <w:tcW w:type="dxa" w:w="3382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Exemple</w:t>
            </w:r>
          </w:p>
        </w:tc>
        <w:tc>
          <w:tcPr>
            <w:tcW w:type="dxa" w:w="3689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Observații</w:t>
            </w:r>
          </w:p>
        </w:tc>
      </w:tr>
      <w:tr>
        <w:trPr>
          <w:cantSplit/>
        </w:trPr>
        <w:tc>
          <w:tcPr>
            <w:tcW w:type="dxa" w:w="1998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Bacterii tipice</w:t>
            </w:r>
          </w:p>
        </w:tc>
        <w:tc>
          <w:tcPr>
            <w:tcW w:type="dxa" w:w="338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Streptococcus pneumoniae</w:t>
            </w:r>
            <w:r>
              <w:rPr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Haemophilus influenzae</w:t>
            </w:r>
          </w:p>
        </w:tc>
        <w:tc>
          <w:tcPr>
            <w:tcW w:type="dxa" w:w="368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Pneumococul este cel mai frecvent agent bacterian identificat</w:t>
            </w:r>
          </w:p>
        </w:tc>
      </w:tr>
      <w:tr>
        <w:trPr>
          <w:cantSplit/>
        </w:trPr>
        <w:tc>
          <w:tcPr>
            <w:tcW w:type="dxa" w:w="1998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Bacterii atipice</w:t>
            </w:r>
          </w:p>
        </w:tc>
        <w:tc>
          <w:tcPr>
            <w:tcW w:type="dxa" w:w="338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Mycoplasma pneumoniae</w:t>
            </w:r>
            <w:r>
              <w:rPr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Chlamydophila pneumoniae</w:t>
            </w:r>
            <w:r>
              <w:rPr>
                <w:b w:val="false"/>
                <w:bCs w:val="false"/>
                <w:sz w:val="20"/>
                <w:szCs w:val="20"/>
              </w:rPr>
              <w:t xml:space="preserve">, </w:t>
            </w: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Legionella</w:t>
            </w:r>
            <w:r>
              <w:rPr>
                <w:b w:val="false"/>
                <w:bCs w:val="false"/>
                <w:sz w:val="20"/>
                <w:szCs w:val="20"/>
              </w:rPr>
              <w:t xml:space="preserve"> spp.</w:t>
            </w:r>
          </w:p>
        </w:tc>
        <w:tc>
          <w:tcPr>
            <w:tcW w:type="dxa" w:w="368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Nu se văd pe colorația Gram; diagnostic serologic, prin antigen urinar sau PCR</w:t>
            </w:r>
          </w:p>
        </w:tc>
      </w:tr>
      <w:tr>
        <w:trPr>
          <w:cantSplit/>
        </w:trPr>
        <w:tc>
          <w:tcPr>
            <w:tcW w:type="dxa" w:w="1998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Virusuri respiratorii</w:t>
            </w:r>
          </w:p>
        </w:tc>
        <w:tc>
          <w:tcPr>
            <w:tcW w:type="dxa" w:w="338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virusurile gripale, virusul sincițial respirator, SARS-CoV-2</w:t>
            </w:r>
          </w:p>
        </w:tc>
        <w:tc>
          <w:tcPr>
            <w:tcW w:type="dxa" w:w="368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Pot produce pneumonie singure sau asociate cu o infecție bacteriană</w:t>
            </w:r>
          </w:p>
        </w:tc>
      </w:tr>
      <w:tr>
        <w:trPr>
          <w:cantSplit/>
        </w:trPr>
        <w:tc>
          <w:tcPr>
            <w:tcW w:type="dxa" w:w="1998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Alți agenți</w:t>
            </w:r>
          </w:p>
        </w:tc>
        <w:tc>
          <w:tcPr>
            <w:tcW w:type="dxa" w:w="338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 xml:space="preserve">Staphylococcus aureus</w:t>
            </w:r>
            <w:r>
              <w:rPr>
                <w:b w:val="false"/>
                <w:bCs w:val="false"/>
                <w:sz w:val="20"/>
                <w:szCs w:val="20"/>
              </w:rPr>
              <w:t xml:space="preserve">, bacili gram-negativi</w:t>
            </w:r>
          </w:p>
        </w:tc>
        <w:tc>
          <w:tcPr>
            <w:tcW w:type="dxa" w:w="368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Mai rari; apar mai ales la pacienții cu factori de risc</w:t>
            </w:r>
          </w:p>
        </w:tc>
      </w:tr>
    </w:tbl>
    <w:p>
      <w:pPr>
        <w:keepNext/>
        <w:spacing w:after="0" w:before="60" w:line="240"/>
        <w:ind w:firstLine="0"/>
        <w:jc w:val="left"/>
      </w:pPr>
      <w:r>
        <w:rPr>
          <w:i/>
          <w:iCs/>
          <w:sz w:val="18"/>
          <w:szCs w:val="18"/>
        </w:rPr>
        <w:t xml:space="preserve">Notă.</w:t>
      </w:r>
      <w:r>
        <w:rPr>
          <w:sz w:val="18"/>
          <w:szCs w:val="18"/>
        </w:rPr>
        <w:t xml:space="preserve"> La o parte importantă dintre pacienți agentul etiologic nu este identificat.</w:t>
      </w:r>
    </w:p>
    <w:p>
      <w:pPr>
        <w:spacing w:after="200" w:before="40" w:line="240"/>
        <w:ind w:firstLine="0"/>
        <w:jc w:val="left"/>
      </w:pPr>
      <w:r>
        <w:rPr>
          <w:i/>
          <w:iCs/>
          <w:color w:val="7A8191"/>
          <w:sz w:val="18"/>
          <w:szCs w:val="18"/>
        </w:rPr>
        <w:t xml:space="preserve">Sursa: Sinteză proprie pe baza surselor [1, 3].</w:t>
      </w:r>
    </w:p>
    <w:p>
      <w:pPr>
        <w:pStyle w:val="Heading2"/>
        <w:keepNext/>
      </w:pPr>
      <w:r>
        <w:t xml:space="preserve">1.2. Factori de risc</w:t>
      </w:r>
    </w:p>
    <w:p>
      <w:r>
        <w:t xml:space="preserve">Riscul de PC și de evoluție severă crește odată cu vârsta și cu bolile cronice care scad apărarea locală sau generală a organismului (Figura 1) [3].</w:t>
      </w:r>
    </w:p>
    <w:p>
      <w:pPr>
        <w:keepNext/>
        <w:spacing w:after="60" w:before="160" w:line="240"/>
        <w:ind w:firstLine="0"/>
        <w:jc w:val="center"/>
      </w:pPr>
      <w:r>
        <w:drawing>
          <wp:inline distT="0" distB="0" distL="0" distR="0">
            <wp:extent cx="5486400" cy="2647950"/>
            <wp:effectExtent t="0" r="0" b="0" l="0"/>
            <wp:docPr id="1" name="Figura 1" descr="Factori de risc pentru pneumonia comunitară la adult" title="Factori de risc pentru pneumonia comunitară la ad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line="260"/>
        <w:ind w:firstLine="0"/>
        <w:jc w:val="center"/>
      </w:pPr>
      <w:r>
        <w:rPr>
          <w:b/>
          <w:bCs/>
          <w:sz w:val="22"/>
          <w:szCs w:val="22"/>
        </w:rPr>
        <w:t xml:space="preserve">Figura 1.</w:t>
      </w:r>
      <w:r>
        <w:rPr>
          <w:sz w:val="22"/>
          <w:szCs w:val="22"/>
        </w:rPr>
        <w:t xml:space="preserve"> Factori de risc pentru pneumonia comunitară la adult</w:t>
      </w:r>
    </w:p>
    <w:p>
      <w:pPr>
        <w:spacing w:after="200" w:line="240"/>
        <w:ind w:firstLine="0"/>
        <w:jc w:val="center"/>
      </w:pPr>
      <w:r>
        <w:rPr>
          <w:i/>
          <w:iCs/>
          <w:color w:val="7A8191"/>
          <w:sz w:val="18"/>
          <w:szCs w:val="18"/>
        </w:rPr>
        <w:t xml:space="preserve">Sursa: Prelucrare proprie.</w:t>
      </w:r>
    </w:p>
    <w:p>
      <w:pPr>
        <w:pStyle w:val="Heading2"/>
        <w:keepNext/>
      </w:pPr>
      <w:r>
        <w:t xml:space="preserve">1.3. Diagnostic și evaluarea severității</w:t>
      </w:r>
    </w:p>
    <w:p>
      <w:r>
        <w:t xml:space="preserve">Diagnosticul se bazează pe simptomele respiratorii acute și pe evidențierea unui infiltrat pulmonar nou pe radiografia toracică (Figura 2). Severitatea se evaluează la internare; scorul CURB-65 folosește cinci criterii simple, câte un punct fiecare (Tabelul 3) [2].</w:t>
      </w:r>
    </w:p>
    <w:p>
      <w:pPr>
        <w:keepNext/>
        <w:spacing w:after="60" w:before="160" w:line="240"/>
        <w:ind w:firstLine="0"/>
        <w:jc w:val="center"/>
      </w:pPr>
      <w:r>
        <w:drawing>
          <wp:inline distT="0" distB="0" distL="0" distR="0">
            <wp:extent cx="5762625" cy="2009775"/>
            <wp:effectExtent t="0" r="0" b="0" l="0"/>
            <wp:docPr id="2" name="Figura 2" descr="Etapele diagnosticului și ale evaluării severității" title="Etapele diagnosticului și ale evaluării severităț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line="260"/>
        <w:ind w:firstLine="0"/>
        <w:jc w:val="center"/>
      </w:pPr>
      <w:r>
        <w:rPr>
          <w:b/>
          <w:bCs/>
          <w:sz w:val="22"/>
          <w:szCs w:val="22"/>
        </w:rPr>
        <w:t xml:space="preserve">Figura 2.</w:t>
      </w:r>
      <w:r>
        <w:rPr>
          <w:sz w:val="22"/>
          <w:szCs w:val="22"/>
        </w:rPr>
        <w:t xml:space="preserve"> Etapele diagnosticului și ale evaluării severității</w:t>
      </w:r>
    </w:p>
    <w:p>
      <w:pPr>
        <w:spacing w:after="200" w:line="240"/>
        <w:ind w:firstLine="0"/>
        <w:jc w:val="center"/>
      </w:pPr>
      <w:r>
        <w:rPr>
          <w:i/>
          <w:iCs/>
          <w:color w:val="7A8191"/>
          <w:sz w:val="18"/>
          <w:szCs w:val="18"/>
        </w:rPr>
        <w:t xml:space="preserve">Sursa: Prelucrare proprie.</w:t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3.</w:t>
      </w:r>
      <w:r>
        <w:rPr>
          <w:sz w:val="22"/>
          <w:szCs w:val="22"/>
        </w:rPr>
        <w:t xml:space="preserve"> Scorul CURB-65: criterii și interpretare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5"/>
        <w:gridCol w:w="6479"/>
        <w:gridCol w:w="1295"/>
      </w:tblGrid>
      <w:tr>
        <w:trPr>
          <w:tblHeader/>
        </w:trPr>
        <w:tc>
          <w:tcPr>
            <w:tcW w:type="dxa" w:w="129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Litera</w:t>
            </w:r>
          </w:p>
        </w:tc>
        <w:tc>
          <w:tcPr>
            <w:tcW w:type="dxa" w:w="6479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Criteriul</w:t>
            </w:r>
          </w:p>
        </w:tc>
        <w:tc>
          <w:tcPr>
            <w:tcW w:type="dxa" w:w="129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Puncte</w:t>
            </w:r>
          </w:p>
        </w:tc>
      </w:tr>
      <w:tr>
        <w:trPr>
          <w:cantSplit/>
        </w:trPr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</w:t>
            </w:r>
          </w:p>
        </w:tc>
        <w:tc>
          <w:tcPr>
            <w:tcW w:type="dxa" w:w="64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Confuzie nou apărută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</w:t>
            </w:r>
          </w:p>
        </w:tc>
        <w:tc>
          <w:tcPr>
            <w:tcW w:type="dxa" w:w="64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Uree serică &gt; 7 mmol/l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R</w:t>
            </w:r>
          </w:p>
        </w:tc>
        <w:tc>
          <w:tcPr>
            <w:tcW w:type="dxa" w:w="64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Frecvența respiratorie ≥ 30/min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</w:t>
            </w:r>
          </w:p>
        </w:tc>
        <w:tc>
          <w:tcPr>
            <w:tcW w:type="dxa" w:w="64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TA sistolică &lt; 90 mmHg sau TA diastolică ≤ 60 mmHg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65</w:t>
            </w:r>
          </w:p>
        </w:tc>
        <w:tc>
          <w:tcPr>
            <w:tcW w:type="dxa" w:w="64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Vârsta ≥ 65 de ani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</w:tbl>
    <w:p>
      <w:pPr>
        <w:keepNext/>
        <w:spacing w:after="0" w:before="60" w:line="240"/>
        <w:ind w:firstLine="0"/>
        <w:jc w:val="left"/>
      </w:pPr>
      <w:r>
        <w:rPr>
          <w:i/>
          <w:iCs/>
          <w:sz w:val="18"/>
          <w:szCs w:val="18"/>
        </w:rPr>
        <w:t xml:space="preserve">Notă.</w:t>
      </w:r>
      <w:r>
        <w:rPr>
          <w:sz w:val="18"/>
          <w:szCs w:val="18"/>
        </w:rPr>
        <w:t xml:space="preserve"> Interpretare: 0–1 puncte – risc scăzut; 2 puncte – risc intermediar; 3–5 puncte – pneumonie severă, risc crescut. Scorul ajută decizia clinică, nu o înlocuiește.</w:t>
      </w:r>
    </w:p>
    <w:p>
      <w:pPr>
        <w:spacing w:after="200" w:before="40" w:line="240"/>
        <w:ind w:firstLine="0"/>
        <w:jc w:val="left"/>
      </w:pPr>
      <w:commentRangeStart w:id="8"/>
      <w:r>
        <w:rPr>
          <w:i/>
          <w:iCs/>
          <w:color w:val="7A8191"/>
          <w:sz w:val="18"/>
          <w:szCs w:val="18"/>
        </w:rPr>
        <w:t xml:space="preserve">Sursa: După Lim și colab. [2].</w:t>
      </w:r>
      <w:commentRangeEnd w:id="8"/>
      <w:r>
        <w:commentReference w:id="8"/>
      </w:r>
    </w:p>
    <w:p>
      <w:pPr>
        <w:pStyle w:val="Heading1"/>
        <w:pageBreakBefore/>
      </w:pPr>
      <w:commentRangeStart w:id="9"/>
      <w:r>
        <w:t xml:space="preserve">Capitolul 2. Material și metodă</w:t>
      </w:r>
      <w:commentRangeEnd w:id="9"/>
      <w:r>
        <w:commentReference w:id="9"/>
      </w:r>
    </w:p>
    <w:p>
      <w:pPr>
        <w:pStyle w:val="Heading2"/>
        <w:keepNext/>
      </w:pPr>
      <w:r>
        <w:t xml:space="preserve">2.1. Tipul studiului și lotul</w:t>
      </w:r>
    </w:p>
    <w:p>
      <w:r>
        <w:t xml:space="preserve">Studiul este observațional, retrospectiv, pe foile de observație ale pacienților internați cu PC într-o secție de medicină internă a unui spital județean, pe o perioadă de doi ani (date simulate). Criteriile de includere și de excludere sunt prezentate în Tabelul 4; lotul final cuprinde 120 de pacienți.</w:t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4.</w:t>
      </w:r>
      <w:r>
        <w:rPr>
          <w:sz w:val="22"/>
          <w:szCs w:val="22"/>
        </w:rPr>
        <w:t xml:space="preserve"> Criteriile de includere și de excludere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Criterii de includere</w:t>
            </w:r>
          </w:p>
        </w:tc>
        <w:tc>
          <w:tcPr>
            <w:tcW w:type="dxa" w:w="453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Criterii de excludere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Vârsta ≥ 18 ani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Pneumonie apărută la peste 48 de ore de la internare (nosocomială)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Diagnostic de pneumonie comunitară: simptome respiratorii acute și infiltrat pulmonar nou pe radiografie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Imunosupresie severă (chimioterapie, transplant)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Internare în secția de medicină internă în perioada studiului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Transfer din alt spital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Foaie de observație completă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Date lipsă pentru calculul scorului CURB-65</w:t>
            </w:r>
          </w:p>
        </w:tc>
      </w:tr>
    </w:tbl>
    <w:p>
      <w:pPr>
        <w:spacing w:after="200" w:before="40" w:line="240"/>
        <w:ind w:firstLine="0"/>
        <w:jc w:val="left"/>
      </w:pPr>
      <w:r>
        <w:rPr>
          <w:i/>
          <w:iCs/>
          <w:color w:val="7A8191"/>
          <w:sz w:val="18"/>
          <w:szCs w:val="18"/>
        </w:rPr>
        <w:t xml:space="preserve">Sursa: Criterii stabilite de autor împreună cu coordonatorul.</w:t>
      </w:r>
    </w:p>
    <w:p>
      <w:pPr>
        <w:pStyle w:val="Heading2"/>
        <w:keepNext/>
      </w:pPr>
      <w:r>
        <w:t xml:space="preserve">2.2. Variabile și analiză statistică</w:t>
      </w:r>
    </w:p>
    <w:p>
      <w:r>
        <w:t xml:space="preserve">Din fiecare foaie de observație s-au extras vârsta, sexul, comorbiditatea principală, elementele scorului CURB-65 la internare, complicațiile apărute (insuficiență respiratorie acută, revărsat pleural, sepsis) și durata spitalizării. Etapele studiului sunt prezentate în Figura 3.</w:t>
      </w:r>
    </w:p>
    <w:p>
      <w:pPr>
        <w:keepNext/>
        <w:spacing w:after="60" w:before="160" w:line="240"/>
        <w:ind w:firstLine="0"/>
        <w:jc w:val="center"/>
      </w:pPr>
      <w:r>
        <w:drawing>
          <wp:inline distT="0" distB="0" distL="0" distR="0">
            <wp:extent cx="5762625" cy="2009775"/>
            <wp:effectExtent t="0" r="0" b="0" l="0"/>
            <wp:docPr id="3" name="Figura 3" descr="Etapele studiului" title="Etapele studiul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line="260"/>
        <w:ind w:firstLine="0"/>
        <w:jc w:val="center"/>
      </w:pPr>
      <w:r>
        <w:rPr>
          <w:b/>
          <w:bCs/>
          <w:sz w:val="22"/>
          <w:szCs w:val="22"/>
        </w:rPr>
        <w:t xml:space="preserve">Figura 3.</w:t>
      </w:r>
      <w:r>
        <w:rPr>
          <w:sz w:val="22"/>
          <w:szCs w:val="22"/>
        </w:rPr>
        <w:t xml:space="preserve"> Etapele studiului</w:t>
      </w:r>
    </w:p>
    <w:p>
      <w:pPr>
        <w:spacing w:after="200" w:line="240"/>
        <w:ind w:firstLine="0"/>
        <w:jc w:val="center"/>
      </w:pPr>
      <w:r>
        <w:rPr>
          <w:i/>
          <w:iCs/>
          <w:color w:val="7A8191"/>
          <w:sz w:val="18"/>
          <w:szCs w:val="18"/>
        </w:rPr>
        <w:t xml:space="preserve">Sursa: Prelucrare proprie.</w:t>
      </w:r>
    </w:p>
    <w:p>
      <w:commentRangeStart w:id="10"/>
      <w:r>
        <w:t xml:space="preserve">Variabilele continue sunt descrise prin medie și abatere standard, iar cele categoriale prin frecvențe. S-au folosit testul χ² și testul t pentru eșantioane independente, cu pragul de semnificație p &lt; 0,05.</w:t>
      </w:r>
      <w:commentRangeEnd w:id="10"/>
      <w:r>
        <w:commentReference w:id="10"/>
      </w:r>
    </w:p>
    <w:p>
      <w:pPr>
        <w:pStyle w:val="Heading1"/>
        <w:pageBreakBefore/>
      </w:pPr>
      <w:commentRangeStart w:id="11"/>
      <w:r>
        <w:t xml:space="preserve">Capitolul 3. Rezultate și discuții</w:t>
      </w:r>
      <w:commentRangeEnd w:id="11"/>
      <w:r>
        <w:commentReference w:id="11"/>
      </w:r>
    </w:p>
    <w:p>
      <w:pPr>
        <w:pStyle w:val="Heading2"/>
        <w:keepNext/>
      </w:pPr>
      <w:r>
        <w:t xml:space="preserve">3.1. Caracteristicile lotului</w:t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5.</w:t>
      </w:r>
      <w:r>
        <w:rPr>
          <w:sz w:val="22"/>
          <w:szCs w:val="22"/>
        </w:rPr>
        <w:t xml:space="preserve"> Caracteristicile lotului studiat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91"/>
        <w:gridCol w:w="1295"/>
        <w:gridCol w:w="1295"/>
        <w:gridCol w:w="1295"/>
        <w:gridCol w:w="1295"/>
        <w:gridCol w:w="1295"/>
      </w:tblGrid>
      <w:tr>
        <w:trPr>
          <w:tblHeader/>
        </w:trPr>
        <w:tc>
          <w:tcPr>
            <w:tcW w:type="dxa" w:w="2591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Variabila</w:t>
            </w:r>
          </w:p>
        </w:tc>
        <w:tc>
          <w:tcPr>
            <w:tcW w:type="dxa" w:w="129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N</w:t>
            </w:r>
          </w:p>
        </w:tc>
        <w:tc>
          <w:tcPr>
            <w:tcW w:type="dxa" w:w="129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Media</w:t>
            </w:r>
          </w:p>
        </w:tc>
        <w:tc>
          <w:tcPr>
            <w:tcW w:type="dxa" w:w="129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Abaterea standard</w:t>
            </w:r>
          </w:p>
        </w:tc>
        <w:tc>
          <w:tcPr>
            <w:tcW w:type="dxa" w:w="129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Minim</w:t>
            </w:r>
          </w:p>
        </w:tc>
        <w:tc>
          <w:tcPr>
            <w:tcW w:type="dxa" w:w="1295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Maxim</w:t>
            </w:r>
          </w:p>
        </w:tc>
      </w:tr>
      <w:tr>
        <w:trPr>
          <w:cantSplit/>
        </w:trPr>
        <w:tc>
          <w:tcPr>
            <w:tcW w:type="dxa" w:w="259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Vârsta (ani)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120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66,9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13,9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29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94</w:t>
            </w:r>
          </w:p>
        </w:tc>
      </w:tr>
      <w:tr>
        <w:trPr>
          <w:cantSplit/>
        </w:trPr>
        <w:tc>
          <w:tcPr>
            <w:tcW w:type="dxa" w:w="259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Scor CURB-65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120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1,4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1,0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259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Durata spitalizării (zile)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120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8,5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3,2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295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18</w:t>
            </w:r>
          </w:p>
        </w:tc>
      </w:tr>
    </w:tbl>
    <w:p>
      <w:pPr>
        <w:spacing w:after="200" w:before="40" w:line="240"/>
        <w:ind w:firstLine="0"/>
        <w:jc w:val="left"/>
      </w:pPr>
      <w:r>
        <w:rPr>
          <w:i/>
          <w:iCs/>
          <w:color w:val="7A8191"/>
          <w:sz w:val="18"/>
          <w:szCs w:val="18"/>
        </w:rPr>
        <w:t xml:space="preserve">Sursa: Prelucrare proprie pe baza datelor simulate.</w:t>
      </w:r>
    </w:p>
    <w:p>
      <w:r>
        <w:t xml:space="preserve">Lotul a cuprins 53 de bărbați (44,2%) și 67 de femei, cu vârsta medie de 66,9 ani (AS = 13,9); 74 de pacienți (61,7%) aveau 65 de ani și peste (Tabelul 5).</w:t>
      </w:r>
    </w:p>
    <w:p>
      <w:pPr>
        <w:pStyle w:val="Heading2"/>
        <w:keepNext/>
      </w:pPr>
      <w:r>
        <w:t xml:space="preserve">3.2. Comorbiditățile</w:t>
      </w:r>
    </w:p>
    <w:p>
      <w:r>
        <w:t xml:space="preserve">Cea mai frecventă comorbiditate principală a fost hipertensiunea arterială (33,3%), iar doar 19,2% dintre pacienți nu aveau nicio boală cronică (Tabelul 6, Figura 4).</w:t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6.</w:t>
      </w:r>
      <w:r>
        <w:rPr>
          <w:sz w:val="22"/>
          <w:szCs w:val="22"/>
        </w:rPr>
        <w:t xml:space="preserve"> Comorbiditatea principală a pacienților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27"/>
        <w:gridCol w:w="1971"/>
        <w:gridCol w:w="1971"/>
      </w:tblGrid>
      <w:tr>
        <w:trPr>
          <w:tblHeader/>
        </w:trPr>
        <w:tc>
          <w:tcPr>
            <w:tcW w:type="dxa" w:w="5127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Comorbiditatea principală</w:t>
            </w:r>
          </w:p>
        </w:tc>
        <w:tc>
          <w:tcPr>
            <w:tcW w:type="dxa" w:w="1971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Frecvență</w:t>
            </w:r>
          </w:p>
        </w:tc>
        <w:tc>
          <w:tcPr>
            <w:tcW w:type="dxa" w:w="1971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Procent</w:t>
            </w:r>
          </w:p>
        </w:tc>
      </w:tr>
      <w:tr>
        <w:trPr>
          <w:cantSplit/>
        </w:trPr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Hipertensiune arterială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33,3%</w:t>
            </w:r>
          </w:p>
        </w:tc>
      </w:tr>
      <w:tr>
        <w:trPr>
          <w:cantSplit/>
        </w:trPr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Diabet zaharat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15,8%</w:t>
            </w:r>
          </w:p>
        </w:tc>
      </w:tr>
      <w:tr>
        <w:trPr>
          <w:cantSplit/>
        </w:trPr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BPOC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13,3%</w:t>
            </w:r>
          </w:p>
        </w:tc>
      </w:tr>
      <w:tr>
        <w:trPr>
          <w:cantSplit/>
        </w:trPr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Insuficiență cardiacă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11,7%</w:t>
            </w:r>
          </w:p>
        </w:tc>
      </w:tr>
      <w:tr>
        <w:trPr>
          <w:cantSplit/>
        </w:trPr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Boală cronică de rinichi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6,7%</w:t>
            </w:r>
          </w:p>
        </w:tc>
      </w:tr>
      <w:tr>
        <w:trPr>
          <w:cantSplit/>
        </w:trPr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Fără comorbidități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19,2%</w:t>
            </w:r>
          </w:p>
        </w:tc>
      </w:tr>
      <w:tr>
        <w:trPr>
          <w:cantSplit/>
        </w:trPr>
        <w:tc>
          <w:tcPr>
            <w:tcW w:type="dxa" w:w="5127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120</w:t>
            </w:r>
          </w:p>
        </w:tc>
        <w:tc>
          <w:tcPr>
            <w:tcW w:type="dxa" w:w="197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</w:tr>
    </w:tbl>
    <w:p>
      <w:pPr>
        <w:spacing w:after="200" w:before="40" w:line="240"/>
        <w:ind w:firstLine="0"/>
        <w:jc w:val="left"/>
      </w:pPr>
      <w:r>
        <w:rPr>
          <w:i/>
          <w:iCs/>
          <w:color w:val="7A8191"/>
          <w:sz w:val="18"/>
          <w:szCs w:val="18"/>
        </w:rPr>
        <w:t xml:space="preserve">Sursa: Prelucrare proprie pe baza datelor simulate.</w:t>
      </w:r>
    </w:p>
    <w:p>
      <w:pPr>
        <w:keepNext/>
        <w:spacing w:after="60" w:before="160" w:line="240"/>
        <w:ind w:firstLine="0"/>
        <w:jc w:val="center"/>
      </w:pPr>
      <w:r>
        <w:drawing>
          <wp:inline distT="0" distB="0" distL="0" distR="0">
            <wp:extent cx="5486400" cy="2466975"/>
            <wp:effectExtent t="0" r="0" b="0" l="0"/>
            <wp:docPr id="4" name="Figura 4" descr="Comorbiditatea principală a pacienților (%)" title="Comorbiditatea principală a pacienților (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line="260"/>
        <w:ind w:firstLine="0"/>
        <w:jc w:val="center"/>
      </w:pPr>
      <w:r>
        <w:rPr>
          <w:b/>
          <w:bCs/>
          <w:sz w:val="22"/>
          <w:szCs w:val="22"/>
        </w:rPr>
        <w:t xml:space="preserve">Figura 4.</w:t>
      </w:r>
      <w:r>
        <w:rPr>
          <w:sz w:val="22"/>
          <w:szCs w:val="22"/>
        </w:rPr>
        <w:t xml:space="preserve"> Comorbiditatea principală a pacienților (%)</w:t>
      </w:r>
    </w:p>
    <w:p>
      <w:pPr>
        <w:spacing w:after="200" w:line="240"/>
        <w:ind w:firstLine="0"/>
        <w:jc w:val="center"/>
      </w:pPr>
      <w:r>
        <w:rPr>
          <w:i/>
          <w:iCs/>
          <w:color w:val="7A8191"/>
          <w:sz w:val="18"/>
          <w:szCs w:val="18"/>
        </w:rPr>
        <w:t xml:space="preserve">Sursa: Prelucrare proprie.</w:t>
      </w:r>
    </w:p>
    <w:p>
      <w:pPr>
        <w:pStyle w:val="Heading2"/>
        <w:keepNext/>
      </w:pPr>
      <w:r>
        <w:t xml:space="preserve">3.3. Severitatea la internare și evoluția</w:t>
      </w:r>
    </w:p>
    <w:p>
      <w:r>
        <w:t xml:space="preserve">Scorul CURB-65 mediu la internare a fost 1,4; în clasa de risc scăzut au fost 50,0% dintre pacienți, în clasa intermediară 35,8%, iar în clasa de risc crescut 14,2% (Figura 5). Pe durata internării, 43 de pacienți (35,8%) au prezentat cel puțin o complicație.</w:t>
      </w:r>
    </w:p>
    <w:p>
      <w:pPr>
        <w:keepNext/>
        <w:spacing w:after="60" w:before="160" w:line="240"/>
        <w:ind w:firstLine="0"/>
        <w:jc w:val="center"/>
      </w:pPr>
      <w:r>
        <w:drawing>
          <wp:inline distT="0" distB="0" distL="0" distR="0">
            <wp:extent cx="4752975" cy="2105025"/>
            <wp:effectExtent t="0" r="0" b="0" l="0"/>
            <wp:docPr id="5" name="Figura 5" descr="Distribuția pacienților pe clase de risc CURB-65" title="Distribuția pacienților pe clase de risc CURB-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line="260"/>
        <w:ind w:firstLine="0"/>
        <w:jc w:val="center"/>
      </w:pPr>
      <w:r>
        <w:rPr>
          <w:b/>
          <w:bCs/>
          <w:sz w:val="22"/>
          <w:szCs w:val="22"/>
        </w:rPr>
        <w:t xml:space="preserve">Figura 5.</w:t>
      </w:r>
      <w:r>
        <w:rPr>
          <w:sz w:val="22"/>
          <w:szCs w:val="22"/>
        </w:rPr>
        <w:t xml:space="preserve"> Distribuția pacienților pe clase de risc CURB-65</w:t>
      </w:r>
    </w:p>
    <w:p>
      <w:pPr>
        <w:spacing w:after="200" w:line="240"/>
        <w:ind w:firstLine="0"/>
        <w:jc w:val="center"/>
      </w:pPr>
      <w:r>
        <w:rPr>
          <w:i/>
          <w:iCs/>
          <w:color w:val="7A8191"/>
          <w:sz w:val="18"/>
          <w:szCs w:val="18"/>
        </w:rPr>
        <w:t xml:space="preserve">Sursa: Prelucrare proprie.</w:t>
      </w:r>
    </w:p>
    <w:p>
      <w:r>
        <w:t xml:space="preserve">Proporția pacienților cu complicații crește odată cu clasa de risc (Tabelul 7, Figura 6): χ²(2) = 16,78, p &lt; 0,001, V Cramer = 0,37. Rezultatul confirmă ipoteza de lucru.</w:t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7.</w:t>
      </w:r>
      <w:r>
        <w:rPr>
          <w:sz w:val="22"/>
          <w:szCs w:val="22"/>
        </w:rPr>
        <w:t xml:space="preserve"> Evoluția pacienților în funcție de clasa de risc CURB-65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31"/>
        <w:gridCol w:w="1679"/>
        <w:gridCol w:w="1679"/>
        <w:gridCol w:w="1679"/>
      </w:tblGrid>
      <w:tr>
        <w:trPr>
          <w:tblHeader/>
        </w:trPr>
        <w:tc>
          <w:tcPr>
            <w:tcW w:type="dxa" w:w="4031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Clasa de risc CURB-65 / Evoluția</w:t>
            </w:r>
          </w:p>
        </w:tc>
        <w:tc>
          <w:tcPr>
            <w:tcW w:type="dxa" w:w="1679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Fără complicații</w:t>
            </w:r>
          </w:p>
        </w:tc>
        <w:tc>
          <w:tcPr>
            <w:tcW w:type="dxa" w:w="1679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Cu complicații</w:t>
            </w:r>
          </w:p>
        </w:tc>
        <w:tc>
          <w:tcPr>
            <w:tcW w:type="dxa" w:w="1679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403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Scăzut (0–1)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48 (80,0%)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12 (20,0%)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403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Intermediar (2)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24 (55,8%)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19 (44,2%)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43</w:t>
            </w:r>
          </w:p>
        </w:tc>
      </w:tr>
      <w:tr>
        <w:trPr>
          <w:cantSplit/>
        </w:trPr>
        <w:tc>
          <w:tcPr>
            <w:tcW w:type="dxa" w:w="4031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Crescut (3–5)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5 (29,4%)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12 (70,6%)</w:t>
            </w:r>
          </w:p>
        </w:tc>
        <w:tc>
          <w:tcPr>
            <w:tcW w:type="dxa" w:w="1679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</w:tr>
    </w:tbl>
    <w:p>
      <w:pPr>
        <w:keepNext/>
        <w:spacing w:after="0" w:before="60" w:line="240"/>
        <w:ind w:firstLine="0"/>
        <w:jc w:val="left"/>
      </w:pPr>
      <w:r>
        <w:rPr>
          <w:i/>
          <w:iCs/>
          <w:sz w:val="18"/>
          <w:szCs w:val="18"/>
        </w:rPr>
        <w:t xml:space="preserve">Notă.</w:t>
      </w:r>
      <w:r>
        <w:rPr>
          <w:sz w:val="18"/>
          <w:szCs w:val="18"/>
        </w:rPr>
        <w:t xml:space="preserve"> χ²(2, N = 120) = 16,78, p &lt; 0,001, V Cramer = 0,37</w:t>
      </w:r>
    </w:p>
    <w:p>
      <w:pPr>
        <w:spacing w:after="200" w:before="40" w:line="240"/>
        <w:ind w:firstLine="0"/>
        <w:jc w:val="left"/>
      </w:pPr>
      <w:r>
        <w:rPr>
          <w:i/>
          <w:iCs/>
          <w:color w:val="7A8191"/>
          <w:sz w:val="18"/>
          <w:szCs w:val="18"/>
        </w:rPr>
        <w:t xml:space="preserve">Sursa: Prelucrare proprie pe baza datelor simulate.</w:t>
      </w:r>
    </w:p>
    <w:p>
      <w:pPr>
        <w:keepNext/>
        <w:spacing w:after="60" w:before="160" w:line="240"/>
        <w:ind w:firstLine="0"/>
        <w:jc w:val="center"/>
      </w:pPr>
      <w:r>
        <w:drawing>
          <wp:inline distT="0" distB="0" distL="0" distR="0">
            <wp:extent cx="5486400" cy="2647950"/>
            <wp:effectExtent t="0" r="0" b="0" l="0"/>
            <wp:docPr id="6" name="Figura 6" descr="Pacienții cu complicații în fiecare clasă de risc CURB-65 (%)" title="Pacienții cu complicații în fiecare clasă de risc CURB-65 (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line="260"/>
        <w:ind w:firstLine="0"/>
        <w:jc w:val="center"/>
      </w:pPr>
      <w:r>
        <w:rPr>
          <w:b/>
          <w:bCs/>
          <w:sz w:val="22"/>
          <w:szCs w:val="22"/>
        </w:rPr>
        <w:t xml:space="preserve">Figura 6.</w:t>
      </w:r>
      <w:r>
        <w:rPr>
          <w:sz w:val="22"/>
          <w:szCs w:val="22"/>
        </w:rPr>
        <w:t xml:space="preserve"> Pacienții cu complicații în fiecare clasă de risc CURB-65 (%)</w:t>
      </w:r>
    </w:p>
    <w:p>
      <w:pPr>
        <w:spacing w:after="200" w:line="240"/>
        <w:ind w:firstLine="0"/>
        <w:jc w:val="center"/>
      </w:pPr>
      <w:r>
        <w:rPr>
          <w:i/>
          <w:iCs/>
          <w:color w:val="7A8191"/>
          <w:sz w:val="18"/>
          <w:szCs w:val="18"/>
        </w:rPr>
        <w:t xml:space="preserve">Sursa: Prelucrare proprie.</w:t>
      </w:r>
    </w:p>
    <w:p>
      <w:pPr>
        <w:pStyle w:val="Heading2"/>
        <w:keepNext/>
      </w:pPr>
      <w:r>
        <w:t xml:space="preserve">3.4. Durata spitalizării</w:t>
      </w:r>
    </w:p>
    <w:p>
      <w:r>
        <w:t xml:space="preserve">Pacienții de 65 de ani și peste au avut o durată medie a spitalizării de 9,16 zile, față de 7,46 zile la cei sub 65 de ani, t(118) = 2,92, p = 0,004, d = 0,55 (Tabelul 8, Figura 7).</w:t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8.</w:t>
      </w:r>
      <w:r>
        <w:rPr>
          <w:sz w:val="22"/>
          <w:szCs w:val="22"/>
        </w:rPr>
        <w:t xml:space="preserve"> Durata spitalizării în funcție de grupa de vârstă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93"/>
        <w:gridCol w:w="1162"/>
        <w:gridCol w:w="1162"/>
        <w:gridCol w:w="1162"/>
        <w:gridCol w:w="1162"/>
        <w:gridCol w:w="1162"/>
        <w:gridCol w:w="1162"/>
      </w:tblGrid>
      <w:tr>
        <w:trPr>
          <w:tblHeader/>
        </w:trPr>
        <w:tc>
          <w:tcPr>
            <w:tcW w:type="dxa" w:w="2093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Variabila</w:t>
            </w:r>
          </w:p>
        </w:tc>
        <w:tc>
          <w:tcPr>
            <w:tcW w:type="dxa" w:w="1162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65 de ani și peste: M (AS)</w:t>
            </w:r>
          </w:p>
        </w:tc>
        <w:tc>
          <w:tcPr>
            <w:tcW w:type="dxa" w:w="1162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Sub 65 de ani: M (AS)</w:t>
            </w:r>
          </w:p>
        </w:tc>
        <w:tc>
          <w:tcPr>
            <w:tcW w:type="dxa" w:w="1162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t</w:t>
            </w:r>
          </w:p>
        </w:tc>
        <w:tc>
          <w:tcPr>
            <w:tcW w:type="dxa" w:w="1162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df</w:t>
            </w:r>
          </w:p>
        </w:tc>
        <w:tc>
          <w:tcPr>
            <w:tcW w:type="dxa" w:w="1162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p</w:t>
            </w:r>
          </w:p>
        </w:tc>
        <w:tc>
          <w:tcPr>
            <w:tcW w:type="dxa" w:w="1162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/>
                <w:bCs/>
                <w:color w:val="16233F"/>
                <w:sz w:val="18"/>
                <w:szCs w:val="18"/>
              </w:rPr>
              <w:t xml:space="preserve">d Cohen</w:t>
            </w:r>
          </w:p>
        </w:tc>
      </w:tr>
      <w:tr>
        <w:trPr>
          <w:cantSplit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Durata spitalizării (zile)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9,16 (3,38)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7,46 (2,63)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2,92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118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0,004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0,55</w:t>
            </w:r>
          </w:p>
        </w:tc>
      </w:tr>
    </w:tbl>
    <w:p>
      <w:pPr>
        <w:keepNext/>
        <w:spacing w:after="0" w:before="60" w:line="240"/>
        <w:ind w:firstLine="0"/>
        <w:jc w:val="left"/>
      </w:pPr>
      <w:r>
        <w:rPr>
          <w:i/>
          <w:iCs/>
          <w:sz w:val="18"/>
          <w:szCs w:val="18"/>
        </w:rPr>
        <w:t xml:space="preserve">Notă.</w:t>
      </w:r>
      <w:r>
        <w:rPr>
          <w:sz w:val="18"/>
          <w:szCs w:val="18"/>
        </w:rPr>
        <w:t xml:space="preserve"> n 65 de ani și peste = 74, n Sub 65 de ani = 46.</w:t>
      </w:r>
    </w:p>
    <w:p>
      <w:pPr>
        <w:spacing w:after="200" w:before="40" w:line="240"/>
        <w:ind w:firstLine="0"/>
        <w:jc w:val="left"/>
      </w:pPr>
      <w:r>
        <w:rPr>
          <w:i/>
          <w:iCs/>
          <w:color w:val="7A8191"/>
          <w:sz w:val="18"/>
          <w:szCs w:val="18"/>
        </w:rPr>
        <w:t xml:space="preserve">Sursa: Prelucrare proprie pe baza datelor simulate.</w:t>
      </w:r>
    </w:p>
    <w:p>
      <w:pPr>
        <w:keepNext/>
        <w:spacing w:after="60" w:before="160" w:line="240"/>
        <w:ind w:firstLine="0"/>
        <w:jc w:val="center"/>
      </w:pPr>
      <w:r>
        <w:drawing>
          <wp:inline distT="0" distB="0" distL="0" distR="0">
            <wp:extent cx="5124450" cy="2562225"/>
            <wp:effectExtent t="0" r="0" b="0" l="0"/>
            <wp:docPr id="7" name="Figura 7" descr="Durata spitalizării la cele două grupe de vârstă" title="Durata spitalizării la cele două grupe de vârst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line="260"/>
        <w:ind w:firstLine="0"/>
        <w:jc w:val="center"/>
      </w:pPr>
      <w:r>
        <w:rPr>
          <w:b/>
          <w:bCs/>
          <w:sz w:val="22"/>
          <w:szCs w:val="22"/>
        </w:rPr>
        <w:t xml:space="preserve">Figura 7.</w:t>
      </w:r>
      <w:r>
        <w:rPr>
          <w:sz w:val="22"/>
          <w:szCs w:val="22"/>
        </w:rPr>
        <w:t xml:space="preserve"> Durata spitalizării la cele două grupe de vârstă</w:t>
      </w:r>
    </w:p>
    <w:p>
      <w:pPr>
        <w:spacing w:after="200" w:line="240"/>
        <w:ind w:firstLine="0"/>
        <w:jc w:val="center"/>
      </w:pPr>
      <w:commentRangeStart w:id="12"/>
      <w:r>
        <w:rPr>
          <w:i/>
          <w:iCs/>
          <w:color w:val="7A8191"/>
          <w:sz w:val="18"/>
          <w:szCs w:val="18"/>
        </w:rPr>
        <w:t xml:space="preserve">Sursa: Prelucrare proprie.</w:t>
      </w:r>
      <w:commentRangeEnd w:id="12"/>
      <w:r>
        <w:commentReference w:id="12"/>
      </w:r>
    </w:p>
    <w:p>
      <w:pPr>
        <w:pStyle w:val="Heading2"/>
        <w:keepNext/>
      </w:pPr>
      <w:r>
        <w:t xml:space="preserve">3.5. Discuții</w:t>
      </w:r>
    </w:p>
    <w:p>
      <w:r>
        <w:t xml:space="preserve">Relația dintre clasa CURB-65 și complicații este în acord cu studiul care a validat scorul [2] și cu recomandările ghidurilor de a folosi un instrument de evaluare a severității la internare [1]. Durata mai mare a spitalizării la vârstnici poate fi explicată de comorbidități și de recuperarea funcțională mai lentă [4].</w:t>
      </w:r>
    </w:p>
    <w:p>
      <w:r>
        <w:rPr>
          <w:b/>
          <w:bCs/>
        </w:rPr>
        <w:t xml:space="preserve">Limitele studiului</w:t>
      </w:r>
      <w:r>
        <w:t xml:space="preserve"> țin de designul retrospectiv (date lipsă, înregistrare neuniformă), de lotul dintr-un singur centru și de faptul că mortalitatea și reinternările după externare nu au fost urmărite.</w:t>
      </w:r>
    </w:p>
    <w:p>
      <w:pPr>
        <w:pStyle w:val="Heading2"/>
        <w:keepNext/>
      </w:pPr>
      <w:r>
        <w:t xml:space="preserve">3.6. Concluziile autorului</w:t>
      </w:r>
    </w:p>
    <w:p>
      <w:pPr>
        <w:keepNext/>
        <w:spacing w:after="80" w:before="200" w:line="260"/>
        <w:ind w:firstLine="0"/>
        <w:jc w:val="left"/>
      </w:pPr>
      <w:r>
        <w:rPr>
          <w:b/>
          <w:bCs/>
          <w:sz w:val="22"/>
          <w:szCs w:val="22"/>
        </w:rPr>
        <w:t xml:space="preserve">Tabelul 9.</w:t>
      </w:r>
      <w:r>
        <w:rPr>
          <w:sz w:val="22"/>
          <w:szCs w:val="22"/>
        </w:rPr>
        <w:t xml:space="preserve"> Sinteza rezultatelor în raport cu obiectivele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6"/>
        <w:gridCol w:w="3228"/>
        <w:gridCol w:w="3536"/>
      </w:tblGrid>
      <w:tr>
        <w:trPr>
          <w:tblHeader/>
        </w:trPr>
        <w:tc>
          <w:tcPr>
            <w:tcW w:type="dxa" w:w="2306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Obiectivul</w:t>
            </w:r>
          </w:p>
        </w:tc>
        <w:tc>
          <w:tcPr>
            <w:tcW w:type="dxa" w:w="3228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Rezultatul principal</w:t>
            </w:r>
          </w:p>
        </w:tc>
        <w:tc>
          <w:tcPr>
            <w:tcW w:type="dxa" w:w="3536"/>
            <w:tcBorders>
              <w:top w:val="single" w:color="8C93A3" w:sz="4"/>
              <w:left w:val="none" w:color="FFFFFF" w:sz="0"/>
              <w:bottom w:val="single" w:color="8C93A3" w:sz="4"/>
              <w:right w:val="none" w:color="FFFFFF" w:sz="0"/>
            </w:tcBorders>
            <w:shd w:fill="D9E8DE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/>
                <w:bCs/>
                <w:color w:val="16233F"/>
                <w:sz w:val="20"/>
                <w:szCs w:val="20"/>
              </w:rPr>
              <w:t xml:space="preserve">Interpretarea autorului</w:t>
            </w:r>
          </w:p>
        </w:tc>
      </w:tr>
      <w:tr>
        <w:trPr>
          <w:cantSplit/>
        </w:trPr>
        <w:tc>
          <w:tcPr>
            <w:tcW w:type="dxa" w:w="2306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O1. Profilul pacienților</w:t>
            </w:r>
          </w:p>
        </w:tc>
        <w:tc>
          <w:tcPr>
            <w:tcW w:type="dxa" w:w="3228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Vârsta medie 66,9 ani; 61,7% au 65 de ani și peste</w:t>
            </w:r>
          </w:p>
        </w:tc>
        <w:tc>
          <w:tcPr>
            <w:tcW w:type="dxa" w:w="3536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Pneumonia internată este în primul rând o boală a vârstnicului</w:t>
            </w:r>
          </w:p>
        </w:tc>
      </w:tr>
      <w:tr>
        <w:trPr>
          <w:cantSplit/>
        </w:trPr>
        <w:tc>
          <w:tcPr>
            <w:tcW w:type="dxa" w:w="2306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O2. Comorbiditățile</w:t>
            </w:r>
          </w:p>
        </w:tc>
        <w:tc>
          <w:tcPr>
            <w:tcW w:type="dxa" w:w="3228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Cea mai frecventă comorbiditate: hipertensiunea arterială (33,3%)</w:t>
            </w:r>
          </w:p>
        </w:tc>
        <w:tc>
          <w:tcPr>
            <w:tcW w:type="dxa" w:w="3536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Majoritatea pacienților au cel puțin o boală cronică</w:t>
            </w:r>
          </w:p>
        </w:tc>
      </w:tr>
      <w:tr>
        <w:trPr>
          <w:cantSplit/>
        </w:trPr>
        <w:tc>
          <w:tcPr>
            <w:tcW w:type="dxa" w:w="2306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O3. Severitatea și evoluția</w:t>
            </w:r>
          </w:p>
        </w:tc>
        <w:tc>
          <w:tcPr>
            <w:tcW w:type="dxa" w:w="3228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Complicațiile cresc de la clasa de risc scăzut la cea de risc crescut (p &lt; 0,001)</w:t>
            </w:r>
          </w:p>
        </w:tc>
        <w:tc>
          <w:tcPr>
            <w:tcW w:type="dxa" w:w="3536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CURB-65 la internare ajută la identificarea pacienților care trebuie urmăriți atent</w:t>
            </w:r>
          </w:p>
        </w:tc>
      </w:tr>
      <w:tr>
        <w:trPr>
          <w:cantSplit/>
        </w:trPr>
        <w:tc>
          <w:tcPr>
            <w:tcW w:type="dxa" w:w="2306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O4. Durata spitalizării</w:t>
            </w:r>
          </w:p>
        </w:tc>
        <w:tc>
          <w:tcPr>
            <w:tcW w:type="dxa" w:w="3228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9,16 față de 7,46 zile la vârstnici, respectiv la adulții sub 65 de ani</w:t>
            </w:r>
          </w:p>
        </w:tc>
        <w:tc>
          <w:tcPr>
            <w:tcW w:type="dxa" w:w="3536"/>
            <w:tcBorders>
              <w:top w:val="none" w:color="FFFFFF" w:sz="0"/>
              <w:left w:val="none" w:color="FFFFFF" w:sz="0"/>
              <w:bottom w:val="single" w:color="8C93A3" w:sz="4"/>
              <w:right w:val="none" w:color="FFFFFF" w:sz="0"/>
            </w:tcBorders>
            <w:shd w:fill="F6F8F7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keepNext/>
              <w:spacing w:after="0" w:line="240"/>
              <w:ind w:firstLine="0"/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Vârstnicii au nevoie de planificarea din timp a externării</w:t>
            </w:r>
          </w:p>
        </w:tc>
      </w:tr>
    </w:tbl>
    <w:p>
      <w:pPr>
        <w:spacing w:after="200" w:before="40" w:line="240"/>
        <w:ind w:firstLine="0"/>
        <w:jc w:val="left"/>
      </w:pPr>
      <w:r>
        <w:rPr>
          <w:i/>
          <w:iCs/>
          <w:color w:val="7A8191"/>
          <w:sz w:val="18"/>
          <w:szCs w:val="18"/>
        </w:rPr>
        <w:t xml:space="preserve">Sursa: Prelucrare proprie.</w:t>
      </w:r>
    </w:p>
    <w:p>
      <w:r>
        <w:t xml:space="preserve">Pe baza rezultatelor, autorul consideră utilă notarea sistematică a scorului CURB-65 în foaia de observație la internare și reevaluarea pacienților din clasele intermediară și crescută în primele 48 de ore, după protocolul secției.</w:t>
      </w:r>
    </w:p>
    <w:p>
      <w:pPr>
        <w:pStyle w:val="Heading1"/>
        <w:pageBreakBefore/>
      </w:pPr>
      <w:commentRangeStart w:id="13"/>
      <w:r>
        <w:t xml:space="preserve">Concluzii</w:t>
      </w:r>
      <w:commentRangeEnd w:id="13"/>
      <w:r>
        <w:commentReference w:id="13"/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1.	</w:t>
      </w:r>
      <w:r>
        <w:t xml:space="preserve">Majoritatea pacienților internați cu pneumonie comunitară au 65 de ani și peste și cel puțin o comorbiditate.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2.	</w:t>
      </w:r>
      <w:r>
        <w:t xml:space="preserve">Hipertensiunea arterială este cea mai frecventă comorbiditate principală în lotul studiat.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3.	</w:t>
      </w:r>
      <w:r>
        <w:t xml:space="preserve">Proporția complicațiilor crește odată cu clasa de risc CURB-65 calculată la internare.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4.	</w:t>
      </w:r>
      <w:r>
        <w:t xml:space="preserve">Pacienții vârstnici au o durată a spitalizării mai mare decât adulții sub 65 de ani.</w:t>
      </w:r>
    </w:p>
    <w:p>
      <w:pPr>
        <w:pStyle w:val="Heading1"/>
        <w:pageBreakBefore/>
      </w:pPr>
      <w:commentRangeStart w:id="14"/>
      <w:r>
        <w:t xml:space="preserve">Bibliografie</w:t>
      </w:r>
      <w:commentRangeEnd w:id="14"/>
      <w:r>
        <w:commentReference w:id="14"/>
      </w:r>
    </w:p>
    <w:p>
      <w:pPr>
        <w:spacing w:after="100" w:line="300"/>
        <w:ind w:left="709" w:hanging="709" w:firstLine="0"/>
        <w:jc w:val="left"/>
      </w:pPr>
      <w:r>
        <w:t xml:space="preserve">1. Metlay JP, Waterer GW, Long AC, Anzueto A, Brozek J, Crothers K, et al. Diagnosis and treatment of adults with community-acquired pneumonia. An official clinical practice guideline of the American Thoracic Society and Infectious Diseases Society of America. Am J Respir Crit Care Med. 2019;200(7):e45–67.</w:t>
      </w:r>
    </w:p>
    <w:p>
      <w:pPr>
        <w:spacing w:after="100" w:line="300"/>
        <w:ind w:left="709" w:hanging="709" w:firstLine="0"/>
        <w:jc w:val="left"/>
      </w:pPr>
      <w:r>
        <w:t xml:space="preserve">2. Lim WS, van der Eerden MM, Laing R, Boersma WG, Karalus N, Town GI, et al. Defining community acquired pneumonia severity on presentation to hospital: an international derivation and validation study. Thorax. 2003;58(5):377–82.</w:t>
      </w:r>
    </w:p>
    <w:p>
      <w:pPr>
        <w:spacing w:after="100" w:line="300"/>
        <w:ind w:left="709" w:hanging="709" w:firstLine="0"/>
        <w:jc w:val="left"/>
      </w:pPr>
      <w:r>
        <w:t xml:space="preserve">3. Stanciu M, Rusu D. Pneumologie pentru studenți. București: Editura Exemplu; 2021.</w:t>
      </w:r>
    </w:p>
    <w:p>
      <w:pPr>
        <w:spacing w:after="100" w:line="300"/>
        <w:ind w:left="709" w:hanging="709" w:firstLine="0"/>
        <w:jc w:val="left"/>
      </w:pPr>
      <w:r>
        <w:t xml:space="preserve">4. Iordache C, Neagu A, Toma R. Durata spitalizării la vârstnicii cu pneumonie comunitară. Revista de Medicină Internă. 2022;19(2):33–40.</w:t>
      </w:r>
    </w:p>
    <w:p>
      <w:pPr>
        <w:pStyle w:val="Heading1"/>
        <w:pageBreakBefore/>
      </w:pPr>
      <w:commentRangeStart w:id="15"/>
      <w:r>
        <w:t xml:space="preserve">Anexa 1. Fișa de colectare a datelor</w:t>
      </w:r>
      <w:commentRangeEnd w:id="15"/>
      <w:r>
        <w:commentReference w:id="15"/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1.	</w:t>
      </w:r>
      <w:r>
        <w:t xml:space="preserve">Cod pacient (de exemplu P001), fără date de identificare.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2.	</w:t>
      </w:r>
      <w:r>
        <w:t xml:space="preserve">Vârsta (ani), sexul.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3.	</w:t>
      </w:r>
      <w:r>
        <w:t xml:space="preserve">Comorbiditatea principală și celelalte boli cronice.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4.	</w:t>
      </w:r>
      <w:r>
        <w:t xml:space="preserve">La internare: confuzie (da/nu), uree serică (mmol/l), frecvența respiratorie (/min), TA sistolică și diastolică (mmHg).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5.	</w:t>
      </w:r>
      <w:r>
        <w:t xml:space="preserve">Scorul CURB-65 calculat (0–5).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6.	</w:t>
      </w:r>
      <w:r>
        <w:t xml:space="preserve">Complicații pe durata internării: insuficiență respiratorie acută, revărsat pleural, sepsis, altele.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7.	</w:t>
      </w:r>
      <w:r>
        <w:t xml:space="preserve">Durata spitalizării (zile).</w:t>
      </w:r>
    </w:p>
    <w:p>
      <w:pPr>
        <w:pStyle w:val="Heading1"/>
        <w:pageBreakBefore/>
      </w:pPr>
      <w:commentRangeStart w:id="16"/>
      <w:r>
        <w:t xml:space="preserve">Bonus: același paragraf, înainte și după corectare</w:t>
      </w:r>
      <w:commentRangeEnd w:id="16"/>
      <w:r>
        <w:commentReference w:id="16"/>
      </w:r>
    </w:p>
    <w:p>
      <w:r>
        <w:t xml:space="preserve">Fragmentul de mai jos este scris intenționat cu greșelile pe care le întâlnim des în lucrările de Medicină. Dedesubt este aceeași idee după corectare.</w:t>
      </w:r>
    </w:p>
    <w:p>
      <w:pPr>
        <w:spacing w:after="80" w:before="240"/>
        <w:ind w:firstLine="0"/>
        <w:jc w:val="left"/>
      </w:pPr>
      <w:r>
        <w:rPr>
          <w:rFonts w:ascii="Arial" w:cs="Arial" w:eastAsia="Arial" w:hAnsi="Arial"/>
          <w:b/>
          <w:bCs/>
          <w:color w:val="9C2B2B"/>
          <w:sz w:val="18"/>
          <w:szCs w:val="18"/>
        </w:rPr>
        <w:t xml:space="preserve">VARIANTA INIȚIALĂ</w:t>
      </w:r>
    </w:p>
    <w:p>
      <w:pPr>
        <w:pBdr>
          <w:left w:val="single" w:color="C0504D" w:sz="18" w:space="8"/>
        </w:pBdr>
        <w:shd w:fill="FBEDEC" w:color="auto" w:val="clear"/>
        <w:spacing w:after="120" w:line="320"/>
        <w:ind w:left="180" w:right="120" w:firstLine="0"/>
        <w:jc w:val="both"/>
      </w:pPr>
      <w:r>
        <w:t xml:space="preserve">Pacientul D.M. din salonul 3, internat pe 12.01.2024, avea CURB 4 si a facut complicatii. Majoritatea pacientilor cu scor mare au facut complicatii, deci scorul CURB-65 prezice perfect evolutia. Pneumonia e cea mai grava boala infectioasa din lume.</w:t>
      </w:r>
    </w:p>
    <w:p>
      <w:pPr>
        <w:spacing w:after="80" w:before="240"/>
        <w:ind w:firstLine="0"/>
        <w:jc w:val="left"/>
      </w:pPr>
      <w:r>
        <w:rPr>
          <w:rFonts w:ascii="Arial" w:cs="Arial" w:eastAsia="Arial" w:hAnsi="Arial"/>
          <w:b/>
          <w:bCs/>
          <w:color w:val="4B7A5E"/>
          <w:sz w:val="18"/>
          <w:szCs w:val="18"/>
        </w:rPr>
        <w:t xml:space="preserve">VARIANTA CORECTATĂ</w:t>
      </w:r>
    </w:p>
    <w:p>
      <w:pPr>
        <w:pBdr>
          <w:left w:val="single" w:color="4B7A5E" w:sz="18" w:space="8"/>
        </w:pBdr>
        <w:shd w:fill="EDF5EF" w:color="auto" w:val="clear"/>
        <w:spacing w:after="120" w:line="320"/>
        <w:ind w:left="180" w:right="120" w:firstLine="0"/>
        <w:jc w:val="both"/>
      </w:pPr>
      <w:r>
        <w:t xml:space="preserve">În lotul studiat, proporția pacienților cu complicații a crescut de la clasa de risc scăzut la clasa de risc crescut, χ²(2) = 16,78, p &lt; 0,001 (Tabelul 7). Rezultatul este în acord cu studiul de validare a scorului CURB-65 [2], dar designul retrospectiv și lotul dintr-un singur centru nu permit generalizarea.</w:t>
      </w:r>
    </w:p>
    <w:p>
      <w:pPr>
        <w:spacing w:after="80" w:before="240"/>
        <w:ind w:firstLine="0"/>
        <w:jc w:val="left"/>
      </w:pPr>
      <w:r>
        <w:rPr>
          <w:rFonts w:ascii="Arial" w:cs="Arial" w:eastAsia="Arial" w:hAnsi="Arial"/>
          <w:b/>
          <w:bCs/>
          <w:color w:val="16233F"/>
          <w:sz w:val="18"/>
          <w:szCs w:val="18"/>
        </w:rPr>
        <w:t xml:space="preserve">CE AM CORECTAT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1.	</w:t>
      </w:r>
      <w:r>
        <w:t xml:space="preserve">Am eliminat inițialele, salonul și data internării: datele pacienților se anonimizează.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2.	</w:t>
      </w:r>
      <w:r>
        <w:t xml:space="preserve">Am pus diacriticele (ș, ț cu virgulă), obligatorii în lucrare.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3.	</w:t>
      </w:r>
      <w:r>
        <w:t xml:space="preserve">Un caz izolat a fost înlocuit cu rezultatul pe tot lotul, cu testul statistic și trimiterea la tabel.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4.	</w:t>
      </w:r>
      <w:r>
        <w:t xml:space="preserve">„Prezice perfect” a devenit o formulare prudentă, însoțită de limitele studiului.</w:t>
      </w:r>
    </w:p>
    <w:p>
      <w:pPr>
        <w:tabs>
          <w:tab w:val="left" w:pos="709"/>
        </w:tabs>
        <w:spacing w:after="60"/>
        <w:ind w:left="709" w:hanging="357" w:firstLine="0"/>
        <w:jc w:val="left"/>
      </w:pPr>
      <w:r>
        <w:t xml:space="preserve">5.	</w:t>
      </w:r>
      <w:r>
        <w:t xml:space="preserve">Afirmația exagerată fără sursă a fost eliminată; comparația cu literatura are trimitere Vancouver.</w:t>
      </w:r>
    </w:p>
    <w:p>
      <w:pPr>
        <w:spacing w:before="360"/>
        <w:ind w:firstLine="0"/>
        <w:jc w:val="left"/>
      </w:pPr>
      <w:r>
        <w:rPr>
          <w:b/>
          <w:bCs/>
        </w:rPr>
        <w:t xml:space="preserve">Vrei aceeași corectare pentru lucrarea ta? </w:t>
      </w:r>
      <w:hyperlink w:history="1" r:id="rIdgj1wcbinke-n8v0p13_16">
        <w:r>
          <w:rPr>
            <w:b/>
            <w:bCs/>
            <w:color w:val="4B7A5E"/>
            <w:u w:val="single"/>
          </w:rPr>
          <w:t xml:space="preserve">licenta-disertatie-romania.com/contact</w:t>
        </w:r>
      </w:hyperlink>
    </w:p>
    <w:sectPr>
      <w:footerReference w:type="default" r:id="rId7"/>
      <w:footerReference w:type="first" r:id="rId8"/>
      <w:pgSz w:w="11906" w:h="16838" w:orient="portrait"/>
      <w:pgMar w:top="1417" w:right="1134" w:bottom="1247" w:left="1701" w:header="708" w:footer="51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LR" w:author="Sfat" w:date="2026-05-20T10:00:00.000Z">
    <w:p>
      <w:r>
        <w:rPr>
          <w:sz w:val="18"/>
          <w:szCs w:val="18"/>
        </w:rPr>
        <w:t xml:space="preserve">Majoritatea facultăților au un model oficial de declarație de autenticitate. Copiază-l exact din ghidul facultății și semnează-l; textul de aici este doar orientativ.</w:t>
      </w:r>
    </w:p>
  </w:comment>
  <w:comment w:id="1" w:initials="LR" w:author="Rolul secțiunii" w:date="2026-05-20T10:00:00.000Z">
    <w:p>
      <w:r>
        <w:rPr>
          <w:sz w:val="18"/>
          <w:szCs w:val="18"/>
        </w:rPr>
        <w:t xml:space="preserve">Cuprinsul arată din prima pagină logica lucrării: introducere, capitole teoretice, cercetarea proprie, concluzii. În Word îl generezi automat din stilurile de titlu (Referințe → Cuprins), ca să se actualizeze singur.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q63xzvhii3nuvjcphmscc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licenta-disertatie-romania.com/blog/cuprins-lucrare-licenta/</w:t>
        </w:r>
      </w:hyperlink>
    </w:p>
  </w:comment>
  <w:comment w:id="2" w:initials="LR" w:author="Rolul secțiunii" w:date="2026-05-20T10:00:00.000Z">
    <w:p>
      <w:r>
        <w:rPr>
          <w:sz w:val="18"/>
          <w:szCs w:val="18"/>
        </w:rPr>
        <w:t xml:space="preserve">Listele de figuri și tabele sunt cerute de multe facultăți. În Word le generezi automat dacă pui titlurile cu Referințe → Inserare legendă, apoi Referințe → Inserare tabel de figuri.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v5no-k2g5uex1oebd8lfv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licenta-disertatie-romania.com/blog/formatare-lucrare-licenta/</w:t>
        </w:r>
      </w:hyperlink>
    </w:p>
  </w:comment>
  <w:comment w:id="3" w:initials="LR" w:author="Rolul secțiunii" w:date="2026-05-20T10:00:00.000Z">
    <w:p>
      <w:r>
        <w:rPr>
          <w:sz w:val="18"/>
          <w:szCs w:val="18"/>
        </w:rPr>
        <w:t xml:space="preserve">Rezumatul are de obicei 150–300 de cuvinte și spune pe scurt tema, obiectivul, metoda, rezultatele și concluzia. Multe facultăți îl cer și în limba engleză, cu 3–5 cuvinte-cheie.</w:t>
      </w:r>
    </w:p>
  </w:comment>
  <w:comment w:id="4" w:initials="LR" w:author="Rolul secțiunii" w:date="2026-05-20T10:00:00.000Z">
    <w:p>
      <w:r>
        <w:rPr>
          <w:sz w:val="18"/>
          <w:szCs w:val="18"/>
        </w:rPr>
        <w:t xml:space="preserve">La Medicină abrevierile se definesc la prima folosire în text și se adună într-o listă după cuprins. Verifică dacă facultatea o cere.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zsei8btj4rbuii_b7l2nt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licenta-disertatie-romania.com/blog/formatare-lucrare-licenta/</w:t>
        </w:r>
      </w:hyperlink>
    </w:p>
  </w:comment>
  <w:comment w:id="5" w:initials="LR" w:author="Rolul secțiunii" w:date="2026-05-20T10:00:00.000Z">
    <w:p>
      <w:r>
        <w:rPr>
          <w:sz w:val="18"/>
          <w:szCs w:val="18"/>
        </w:rPr>
        <w:t xml:space="preserve">Introducerea arată de ce problema clinică este importantă și formulează ipoteza și obiectivele. La Medicină se scrie scurt, cu trimiteri la ghiduri și studii recente.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8ld3si7hzy4nsfyirpl8s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licenta-disertatie-romania.com/blog/introducere-lucrare-licenta/</w:t>
        </w:r>
      </w:hyperlink>
    </w:p>
  </w:comment>
  <w:comment w:id="6" w:initials="LR" w:author="Sfat" w:date="2026-05-20T10:00:00.000Z">
    <w:p>
      <w:r>
        <w:rPr>
          <w:sz w:val="18"/>
          <w:szCs w:val="18"/>
        </w:rPr>
        <w:t xml:space="preserve">La Medicină se citează în stil Vancouver: [1], [2, 3] în text și bibliografia numerotată în ordinea primei citări. Preferă ghidurile și articolele indexate în PubMed din ultimii 5–10 ani.</w:t>
      </w:r>
    </w:p>
  </w:comment>
  <w:comment w:id="7" w:initials="LR" w:author="Rolul secțiunii" w:date="2026-05-20T10:00:00.000Z">
    <w:p>
      <w:r>
        <w:rPr>
          <w:sz w:val="18"/>
          <w:szCs w:val="18"/>
        </w:rPr>
        <w:t xml:space="preserve">Partea generală este un mini-review: definiție, etiologie, factori de risc, diagnostic și evaluarea severității. Nu copia capitolul din manual; păstrează doar ce folosești în partea practică.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g1p2z_1weodxogd6ogvcn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licenta-disertatie-romania.com/blog/structura-lucrare-licenta/</w:t>
        </w:r>
      </w:hyperlink>
    </w:p>
  </w:comment>
  <w:comment w:id="8" w:initials="LR" w:author="Greșeală frecventă" w:date="2026-05-20T10:00:00.000Z">
    <w:p>
      <w:r>
        <w:rPr>
          <w:sz w:val="18"/>
          <w:szCs w:val="18"/>
        </w:rPr>
        <w:t xml:space="preserve">Nu include în lucrare scheme de tratament antibiotic cu doze copiate din ghiduri. Tratamentul se descrie la nivel general și cu trimitere la ghidul citat; o doză greșită într-o lucrare de licență la Medicină este o eroare gravă.</w:t>
      </w:r>
    </w:p>
  </w:comment>
  <w:comment w:id="9" w:initials="LR" w:author="Rolul secțiunii" w:date="2026-05-20T10:00:00.000Z">
    <w:p>
      <w:r>
        <w:rPr>
          <w:sz w:val="18"/>
          <w:szCs w:val="18"/>
        </w:rPr>
        <w:t xml:space="preserve">Material și metodă trebuie să permită repetarea studiului: tipul studiului, perioada, lotul, criteriile, variabilele, analiza statistică și avizul etic.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mgqmmbmd0of2qh-nrz1oa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licenta-disertatie-romania.com/blog/ipoteze-obiective-lucrare-licenta/</w:t>
        </w:r>
      </w:hyperlink>
    </w:p>
  </w:comment>
  <w:comment w:id="10" w:initials="LR" w:author="Greșeală frecventă" w:date="2026-05-20T10:00:00.000Z">
    <w:p>
      <w:r>
        <w:rPr>
          <w:sz w:val="18"/>
          <w:szCs w:val="18"/>
        </w:rPr>
        <w:t xml:space="preserve">Un studiu retrospectiv pe foi de observație are nevoie de avizul comisiei de etică a spitalului. Datele se anonimizează la extragere: fără nume, CNP, număr de foaie de observație sau date exacte ale internării.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jlvxpwtsmili8g2g8r7cs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licenta-disertatie-romania.com/resurse/model-acord-informat/</w:t>
        </w:r>
      </w:hyperlink>
    </w:p>
  </w:comment>
  <w:comment w:id="11" w:initials="LR" w:author="Rolul secțiunii" w:date="2026-05-20T10:00:00.000Z">
    <w:p>
      <w:r>
        <w:rPr>
          <w:sz w:val="18"/>
          <w:szCs w:val="18"/>
        </w:rPr>
        <w:t xml:space="preserve">Rezultatele se prezintă obiectiv, în ordinea obiectivelor; în discuții le interpretezi și le compari cu literatura. Această parte este contribuția ta personală.</w:t>
      </w:r>
    </w:p>
  </w:comment>
  <w:comment w:id="12" w:initials="LR" w:author="Sfat" w:date="2026-05-20T10:00:00.000Z">
    <w:p>
      <w:r>
        <w:rPr>
          <w:sz w:val="18"/>
          <w:szCs w:val="18"/>
        </w:rPr>
        <w:t xml:space="preserve">Separă clar rezultatele de discuții: în Rezultate spui ce ai găsit, cu cifre; în Discuții explici ce înseamnă și compari cu alte studii. Nu repeta aceleași cifre în ambele.</w:t>
      </w:r>
    </w:p>
  </w:comment>
  <w:comment w:id="13" w:initials="LR" w:author="Rolul secțiunii" w:date="2026-05-20T10:00:00.000Z">
    <w:p>
      <w:r>
        <w:rPr>
          <w:sz w:val="18"/>
          <w:szCs w:val="18"/>
        </w:rPr>
        <w:t xml:space="preserve">Concluziile sunt scurte, numerotate sau sub formă de listă, derivate strict din rezultate. Nu introduc informații noi și nu repetă discuția.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xlawyfw7ctoejtjckyhnm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licenta-disertatie-romania.com/blog/concluzii-lucrare-licenta/</w:t>
        </w:r>
      </w:hyperlink>
    </w:p>
  </w:comment>
  <w:comment w:id="14" w:initials="LR" w:author="Rolul secțiunii" w:date="2026-05-20T10:00:00.000Z">
    <w:p>
      <w:r>
        <w:rPr>
          <w:sz w:val="18"/>
          <w:szCs w:val="18"/>
        </w:rPr>
        <w:t xml:space="preserve">Referințele sunt numerotate în ordinea primei citări (stil Vancouver). Ghidul ATS/IDSA și articolul lui Lim și colab. sunt surse reale; celelalte sunt generice, inventate pentru acest exemplu. În lucrarea ta citezi doar surse reale, verificate.</w:t>
      </w:r>
    </w:p>
  </w:comment>
  <w:comment w:id="15" w:initials="LR" w:author="Rolul secțiunii" w:date="2026-05-20T10:00:00.000Z">
    <w:p>
      <w:r>
        <w:rPr>
          <w:sz w:val="18"/>
          <w:szCs w:val="18"/>
        </w:rPr>
        <w:t xml:space="preserve">Fișa de colectare arată ce date ai extras din fiecare foaie de observație. Pune în anexă și avizul comisiei de etică.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_b9wsfntzux10dkbkn051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licenta-disertatie-romania.com/resurse/model-chestionar-licenta/</w:t>
        </w:r>
      </w:hyperlink>
    </w:p>
  </w:comment>
  <w:comment w:id="16" w:initials="LR" w:author="Rolul secțiunii" w:date="2026-05-20T10:00:00.000Z">
    <w:p>
      <w:r>
        <w:rPr>
          <w:sz w:val="18"/>
          <w:szCs w:val="18"/>
        </w:rPr>
        <w:t xml:space="preserve">Această pagină nu face parte din lucrare. Arată cum se schimbă un paragraf la o corectare atentă: aceeași idee, scrisă clar, cu sursă și în stil academic.</w:t>
      </w:r>
    </w:p>
    <w:p>
      <w:r>
        <w:rPr>
          <w:rFonts w:ascii="Arial" w:cs="Arial" w:eastAsia="Arial" w:hAnsi="Arial"/>
          <w:b/>
          <w:bCs/>
          <w:sz w:val="16"/>
          <w:szCs w:val="16"/>
        </w:rPr>
        <w:t xml:space="preserve">Ghid: </w:t>
      </w:r>
      <w:hyperlink w:history="1" r:id="rIddmasdqwwjcle7mc-7lqli">
        <w:r>
          <w:rPr>
            <w:rFonts w:ascii="Arial" w:cs="Arial" w:eastAsia="Arial" w:hAnsi="Arial"/>
            <w:color w:val="4B7A5E"/>
            <w:sz w:val="16"/>
            <w:szCs w:val="16"/>
            <w:u w:val="single"/>
          </w:rPr>
          <w:t xml:space="preserve">licenta-disertatie-romania.com/blog/cat-costa-corectare-licenta/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1"/>
      </w:tabs>
      <w:ind w:firstLine="0"/>
      <w:jc w:val="left"/>
    </w:pPr>
    <w:r>
      <w:rPr>
        <w:rFonts w:ascii="Arial" w:cs="Arial" w:eastAsia="Arial" w:hAnsi="Arial"/>
        <w:color w:val="7A8191"/>
        <w:sz w:val="15"/>
        <w:szCs w:val="15"/>
      </w:rPr>
      <w:t xml:space="preserve">Exemplu fictiv cu date simulate · </w:t>
    </w:r>
    <w:r>
      <w:rPr>
        <w:rFonts w:ascii="Arial" w:cs="Arial" w:eastAsia="Arial" w:hAnsi="Arial"/>
        <w:b/>
        <w:bCs/>
        <w:color w:val="16233F"/>
        <w:sz w:val="15"/>
        <w:szCs w:val="15"/>
      </w:rPr>
      <w:t xml:space="preserve">Ai nevoie de ajutor cu lucrarea ta? </w:t>
    </w:r>
    <w:hyperlink w:history="1" r:id="rIdte7xsfelroteeh1ruw5hb">
      <w:r>
        <w:rPr>
          <w:rFonts w:ascii="Arial" w:cs="Arial" w:eastAsia="Arial" w:hAnsi="Arial"/>
          <w:b/>
          <w:bCs/>
          <w:color w:val="4B7A5E"/>
          <w:sz w:val="15"/>
          <w:szCs w:val="15"/>
          <w:u w:val="single"/>
        </w:rPr>
        <w:t xml:space="preserve">licenta-disertatie-romania.com/contact</w:t>
      </w:r>
    </w:hyperlink>
    <w:r>
      <w:rPr>
        <w:rFonts w:ascii="Times New Roman" w:cs="Times New Roman" w:eastAsia="Times New Roman" w:hAnsi="Times New Roman"/>
        <w:sz w:val="20"/>
        <w:szCs w:val="20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1"/>
      </w:tabs>
      <w:ind w:firstLine="0"/>
      <w:jc w:val="left"/>
    </w:pPr>
    <w:r>
      <w:rPr>
        <w:rFonts w:ascii="Arial" w:cs="Arial" w:eastAsia="Arial" w:hAnsi="Arial"/>
        <w:color w:val="7A8191"/>
        <w:sz w:val="15"/>
        <w:szCs w:val="15"/>
      </w:rPr>
      <w:t xml:space="preserve">Exemplu fictiv cu date simulate · </w:t>
    </w:r>
    <w:r>
      <w:rPr>
        <w:rFonts w:ascii="Arial" w:cs="Arial" w:eastAsia="Arial" w:hAnsi="Arial"/>
        <w:b/>
        <w:bCs/>
        <w:color w:val="16233F"/>
        <w:sz w:val="15"/>
        <w:szCs w:val="15"/>
      </w:rPr>
      <w:t xml:space="preserve">Ai nevoie de ajutor cu lucrarea ta? </w:t>
    </w:r>
    <w:hyperlink w:history="1" r:id="rIdfmi4v3uojykcl9sos-qyu">
      <w:r>
        <w:rPr>
          <w:rFonts w:ascii="Arial" w:cs="Arial" w:eastAsia="Arial" w:hAnsi="Arial"/>
          <w:b/>
          <w:bCs/>
          <w:color w:val="4B7A5E"/>
          <w:sz w:val="15"/>
          <w:szCs w:val="15"/>
          <w:u w:val="single"/>
        </w:rPr>
        <w:t xml:space="preserve">licenta-disertatie-romania.com/contact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360"/>
        <w:ind w:firstLine="709"/>
        <w:jc w:val="both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00" w:before="0" w:line="300"/>
      <w:ind w:firstLine="0"/>
      <w:jc w:val="center"/>
      <w:outlineLvl w:val="0"/>
    </w:pPr>
    <w:rPr>
      <w:rFonts w:ascii="Times New Roman" w:cs="Times New Roman" w:eastAsia="Times New Roman" w:hAnsi="Times New Roman"/>
      <w:b/>
      <w:bCs/>
      <w:color w:val="16233F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80" w:line="300"/>
      <w:ind w:firstLine="0"/>
      <w:jc w:val="left"/>
      <w:outlineLvl w:val="1"/>
    </w:pPr>
    <w:rPr>
      <w:rFonts w:ascii="Times New Roman" w:cs="Times New Roman" w:eastAsia="Times New Roman" w:hAnsi="Times New Roman"/>
      <w:b/>
      <w:bCs/>
      <w:color w:val="16233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 w:line="300"/>
      <w:ind w:firstLine="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16233F"/>
      <w:sz w:val="24"/>
      <w:szCs w:val="24"/>
    </w:rPr>
  </w:style>
</w:styles>
</file>

<file path=word/_rels/comments.xml.rels><?xml version="1.0" encoding="UTF-8"?><Relationships xmlns="http://schemas.openxmlformats.org/package/2006/relationships"><Relationship Id="rIdq63xzvhii3nuvjcphmscc" Type="http://schemas.openxmlformats.org/officeDocument/2006/relationships/hyperlink" Target="https://licenta-disertatie-romania.com/blog/cuprins-lucrare-licenta/" TargetMode="External"/><Relationship Id="rIdv5no-k2g5uex1oebd8lfv" Type="http://schemas.openxmlformats.org/officeDocument/2006/relationships/hyperlink" Target="https://licenta-disertatie-romania.com/blog/formatare-lucrare-licenta/" TargetMode="External"/><Relationship Id="rIdzsei8btj4rbuii_b7l2nt" Type="http://schemas.openxmlformats.org/officeDocument/2006/relationships/hyperlink" Target="https://licenta-disertatie-romania.com/blog/formatare-lucrare-licenta/" TargetMode="External"/><Relationship Id="rId8ld3si7hzy4nsfyirpl8s" Type="http://schemas.openxmlformats.org/officeDocument/2006/relationships/hyperlink" Target="https://licenta-disertatie-romania.com/blog/introducere-lucrare-licenta/" TargetMode="External"/><Relationship Id="rIdg1p2z_1weodxogd6ogvcn" Type="http://schemas.openxmlformats.org/officeDocument/2006/relationships/hyperlink" Target="https://licenta-disertatie-romania.com/blog/structura-lucrare-licenta/" TargetMode="External"/><Relationship Id="rIdmgqmmbmd0of2qh-nrz1oa" Type="http://schemas.openxmlformats.org/officeDocument/2006/relationships/hyperlink" Target="https://licenta-disertatie-romania.com/blog/ipoteze-obiective-lucrare-licenta/" TargetMode="External"/><Relationship Id="rIdjlvxpwtsmili8g2g8r7cs" Type="http://schemas.openxmlformats.org/officeDocument/2006/relationships/hyperlink" Target="https://licenta-disertatie-romania.com/resurse/model-acord-informat/" TargetMode="External"/><Relationship Id="rIdxlawyfw7ctoejtjckyhnm" Type="http://schemas.openxmlformats.org/officeDocument/2006/relationships/hyperlink" Target="https://licenta-disertatie-romania.com/blog/concluzii-lucrare-licenta/" TargetMode="External"/><Relationship Id="rId_b9wsfntzux10dkbkn051" Type="http://schemas.openxmlformats.org/officeDocument/2006/relationships/hyperlink" Target="https://licenta-disertatie-romania.com/resurse/model-chestionar-licenta/" TargetMode="External"/><Relationship Id="rIddmasdqwwjcle7mc-7lqli" Type="http://schemas.openxmlformats.org/officeDocument/2006/relationships/hyperlink" Target="https://licenta-disertatie-romania.com/blog/cat-costa-corectare-licenta/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gj1wcbinke-n8v0p13_16" Type="http://schemas.openxmlformats.org/officeDocument/2006/relationships/hyperlink" Target="https://licenta-disertatie-romania.com/contact/" TargetMode="External"/><Relationship Id="rId10" Type="http://schemas.openxmlformats.org/officeDocument/2006/relationships/image" Target="media/8c99be6b83da1bca3172c85545df6d51dad2714e.png"/><Relationship Id="rId11" Type="http://schemas.openxmlformats.org/officeDocument/2006/relationships/image" Target="media/40d4dbb3d5223f62a0b21296b2bb634471dc4614.png"/><Relationship Id="rId12" Type="http://schemas.openxmlformats.org/officeDocument/2006/relationships/image" Target="media/6413ba653c8567bc1058aa8cb2f1b752114250e0.png"/><Relationship Id="rId13" Type="http://schemas.openxmlformats.org/officeDocument/2006/relationships/image" Target="media/7a975af9a50b48c5f88b0fb0959e149a76199305.png"/><Relationship Id="rId14" Type="http://schemas.openxmlformats.org/officeDocument/2006/relationships/image" Target="media/464c6e9a5085de50c2511b8c6a8e5ea60b5eac09.png"/><Relationship Id="rId15" Type="http://schemas.openxmlformats.org/officeDocument/2006/relationships/image" Target="media/58e66d2810a16f76846de9bb60d99bea91bfeebd.png"/><Relationship Id="rId16" Type="http://schemas.openxmlformats.org/officeDocument/2006/relationships/image" Target="media/c2c13ec3449e62d45af55c46e61349f8b4de27b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7xsfelroteeh1ruw5hb" Type="http://schemas.openxmlformats.org/officeDocument/2006/relationships/hyperlink" Target="https://licenta-disertatie-romania.com/contact/" TargetMode="External"/></Relationships>
</file>

<file path=word/_rels/footer2.xml.rels><?xml version="1.0" encoding="UTF-8"?><Relationships xmlns="http://schemas.openxmlformats.org/package/2006/relationships"><Relationship Id="rIdfmi4v3uojykcl9sos-qyu" Type="http://schemas.openxmlformats.org/officeDocument/2006/relationships/hyperlink" Target="https://licenta-disertatie-romania.com/contac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Exemplu lucrare de licență – Medicină</dc:title>
  <dc:creator>Licenta RO</dc:creator>
  <dc:description>Exemplu fictiv cu date simulate: licenta-disertatie-romania.com</dc:description>
  <cp:lastModifiedBy>Un-named</cp:lastModifiedBy>
  <cp:revision>1</cp:revision>
  <dcterms:created xsi:type="dcterms:W3CDTF">2026-10-05T20:23:52.880Z</dcterms:created>
  <dcterms:modified xsi:type="dcterms:W3CDTF">2026-10-05T20:23:52.880Z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