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EDUCAȚIE FIZICĂ ȘI SPORT</w:t>
      </w:r>
    </w:p>
    <w:p>
      <w:pPr>
        <w:spacing w:after="0" w:before="60"/>
        <w:ind w:firstLine="0"/>
        <w:jc w:val="center"/>
      </w:pPr>
      <w:r>
        <w:rPr>
          <w:b w:val="false"/>
          <w:bCs w:val="false"/>
          <w:i w:val="false"/>
          <w:iCs w:val="false"/>
        </w:rPr>
        <w:t xml:space="preserve">Programul de studii: Kinetoterapie și motricitate specială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Recuperarea kinetoterapeutică după artroplastia de genunchi</w:t>
      </w:r>
    </w:p>
    <w:p>
      <w:pPr>
        <w:spacing w:after="0" w:before="120"/>
        <w:ind w:firstLine="0"/>
        <w:jc w:val="center"/>
      </w:pPr>
      <w:r>
        <w:rPr>
          <w:b w:val="false"/>
          <w:bCs w:val="false"/>
          <w:i/>
          <w:iCs/>
          <w:sz w:val="24"/>
          <w:szCs w:val="24"/>
        </w:rPr>
        <w:t xml:space="preserve">Compararea a două protocoale de recuperare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Radu Stoica (nume fictiv)</w:t>
      </w:r>
    </w:p>
    <w:p>
      <w:pPr>
        <w:spacing w:before="300"/>
        <w:ind w:firstLine="0"/>
        <w:jc w:val="right"/>
      </w:pPr>
      <w:r>
        <w:rPr>
          <w:b/>
          <w:bCs/>
        </w:rPr>
        <w:t xml:space="preserve">Absolvent:</w:t>
      </w:r>
    </w:p>
    <w:p>
      <w:pPr>
        <w:ind w:firstLine="0"/>
        <w:jc w:val="right"/>
      </w:pPr>
      <w:r>
        <w:t xml:space="preserve">Diana Pavel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Diana Pavel</w:t>
      </w:r>
      <w:r>
        <w:t xml:space="preserve">, absolvent(ă) al(a) programului de studii Kinetoterapie și motricitate specială, declar pe propria răspundere că lucrarea de licență cu titlul „Recuperarea kinetoterapeutică după artroplastia de genunchi”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 al afecțiunii</w:t>
      </w:r>
      <w:r>
        <w:t xml:space="preserve">	7</w:t>
      </w:r>
    </w:p>
    <w:p>
      <w:pPr>
        <w:tabs>
          <w:tab w:val="right" w:pos="9026" w:leader="dot"/>
        </w:tabs>
        <w:spacing w:after="40" w:line="300"/>
        <w:ind w:left="400" w:firstLine="0"/>
        <w:jc w:val="left"/>
      </w:pPr>
      <w:r>
        <w:rPr>
          <w:b w:val="false"/>
          <w:bCs w:val="false"/>
        </w:rPr>
        <w:t xml:space="preserve">1.1. Biomecanica genunchiului</w:t>
      </w:r>
      <w:r>
        <w:t xml:space="preserve">	7</w:t>
      </w:r>
    </w:p>
    <w:p>
      <w:pPr>
        <w:tabs>
          <w:tab w:val="right" w:pos="9026" w:leader="dot"/>
        </w:tabs>
        <w:spacing w:after="40" w:line="300"/>
        <w:ind w:left="400" w:firstLine="0"/>
        <w:jc w:val="left"/>
      </w:pPr>
      <w:r>
        <w:rPr>
          <w:b w:val="false"/>
          <w:bCs w:val="false"/>
        </w:rPr>
        <w:t xml:space="preserve">1.2. Artroplastia totală de genunchi și obiectivele recuperării</w:t>
      </w:r>
      <w:r>
        <w:t xml:space="preserve">	7</w:t>
      </w:r>
    </w:p>
    <w:p>
      <w:pPr>
        <w:tabs>
          <w:tab w:val="right" w:pos="9026" w:leader="dot"/>
        </w:tabs>
        <w:spacing w:after="40" w:line="300"/>
        <w:ind w:left="0" w:firstLine="0"/>
        <w:jc w:val="left"/>
      </w:pPr>
      <w:r>
        <w:rPr>
          <w:b/>
          <w:bCs/>
        </w:rPr>
        <w:t xml:space="preserve">Capitolul 2. Evaluarea funcțională și metodologia cercetării</w:t>
      </w:r>
      <w:r>
        <w:t xml:space="preserve">	8</w:t>
      </w:r>
    </w:p>
    <w:p>
      <w:pPr>
        <w:tabs>
          <w:tab w:val="right" w:pos="9026" w:leader="dot"/>
        </w:tabs>
        <w:spacing w:after="40" w:line="300"/>
        <w:ind w:left="400" w:firstLine="0"/>
        <w:jc w:val="left"/>
      </w:pPr>
      <w:r>
        <w:rPr>
          <w:b w:val="false"/>
          <w:bCs w:val="false"/>
        </w:rPr>
        <w:t xml:space="preserve">2.1. Ipotezele cercetării</w:t>
      </w:r>
      <w:r>
        <w:t xml:space="preserve">	8</w:t>
      </w:r>
    </w:p>
    <w:p>
      <w:pPr>
        <w:tabs>
          <w:tab w:val="right" w:pos="9026" w:leader="dot"/>
        </w:tabs>
        <w:spacing w:after="40" w:line="300"/>
        <w:ind w:left="400" w:firstLine="0"/>
        <w:jc w:val="left"/>
      </w:pPr>
      <w:r>
        <w:rPr>
          <w:b w:val="false"/>
          <w:bCs w:val="false"/>
        </w:rPr>
        <w:t xml:space="preserve">2.2. Pacienții și etapele cercetării</w:t>
      </w:r>
      <w:r>
        <w:t xml:space="preserve">	8</w:t>
      </w:r>
    </w:p>
    <w:p>
      <w:pPr>
        <w:tabs>
          <w:tab w:val="right" w:pos="9026" w:leader="dot"/>
        </w:tabs>
        <w:spacing w:after="40" w:line="300"/>
        <w:ind w:left="400" w:firstLine="0"/>
        <w:jc w:val="left"/>
      </w:pPr>
      <w:r>
        <w:rPr>
          <w:b w:val="false"/>
          <w:bCs w:val="false"/>
        </w:rPr>
        <w:t xml:space="preserve">2.3. Instrumentele de evaluare</w:t>
      </w:r>
      <w:r>
        <w:t xml:space="preserve">	8</w:t>
      </w:r>
    </w:p>
    <w:p>
      <w:pPr>
        <w:tabs>
          <w:tab w:val="right" w:pos="9026" w:leader="dot"/>
        </w:tabs>
        <w:spacing w:after="40" w:line="300"/>
        <w:ind w:left="0" w:firstLine="0"/>
        <w:jc w:val="left"/>
      </w:pPr>
      <w:r>
        <w:rPr>
          <w:b/>
          <w:bCs/>
        </w:rPr>
        <w:t xml:space="preserve">Capitolul 3. Programul kinetic</w:t>
      </w:r>
      <w:r>
        <w:t xml:space="preserve">	9</w:t>
      </w:r>
    </w:p>
    <w:p>
      <w:pPr>
        <w:tabs>
          <w:tab w:val="right" w:pos="9026" w:leader="dot"/>
        </w:tabs>
        <w:spacing w:after="40" w:line="300"/>
        <w:ind w:left="0" w:firstLine="0"/>
        <w:jc w:val="left"/>
      </w:pPr>
      <w:r>
        <w:rPr>
          <w:b/>
          <w:bCs/>
        </w:rPr>
        <w:t xml:space="preserve">Capitolul 4. Rezultate și discuții</w:t>
      </w:r>
      <w:r>
        <w:t xml:space="preserve">	10</w:t>
      </w:r>
    </w:p>
    <w:p>
      <w:pPr>
        <w:tabs>
          <w:tab w:val="right" w:pos="9026" w:leader="dot"/>
        </w:tabs>
        <w:spacing w:after="40" w:line="300"/>
        <w:ind w:left="400" w:firstLine="0"/>
        <w:jc w:val="left"/>
      </w:pPr>
      <w:r>
        <w:rPr>
          <w:b w:val="false"/>
          <w:bCs w:val="false"/>
        </w:rPr>
        <w:t xml:space="preserve">4.1. Evaluarea inițială</w:t>
      </w:r>
      <w:r>
        <w:t xml:space="preserve">	10</w:t>
      </w:r>
    </w:p>
    <w:p>
      <w:pPr>
        <w:tabs>
          <w:tab w:val="right" w:pos="9026" w:leader="dot"/>
        </w:tabs>
        <w:spacing w:after="40" w:line="300"/>
        <w:ind w:left="400" w:firstLine="0"/>
        <w:jc w:val="left"/>
      </w:pPr>
      <w:r>
        <w:rPr>
          <w:b w:val="false"/>
          <w:bCs w:val="false"/>
        </w:rPr>
        <w:t xml:space="preserve">4.2. Evoluția întregului lot</w:t>
      </w:r>
      <w:r>
        <w:t xml:space="preserve">	10</w:t>
      </w:r>
    </w:p>
    <w:p>
      <w:pPr>
        <w:tabs>
          <w:tab w:val="right" w:pos="9026" w:leader="dot"/>
        </w:tabs>
        <w:spacing w:after="40" w:line="300"/>
        <w:ind w:left="400" w:firstLine="0"/>
        <w:jc w:val="left"/>
      </w:pPr>
      <w:r>
        <w:rPr>
          <w:b w:val="false"/>
          <w:bCs w:val="false"/>
        </w:rPr>
        <w:t xml:space="preserve">4.3. Compararea protocoalelor (I1 și I2)</w:t>
      </w:r>
      <w:r>
        <w:t xml:space="preserve">	11</w:t>
      </w:r>
    </w:p>
    <w:p>
      <w:pPr>
        <w:tabs>
          <w:tab w:val="right" w:pos="9026" w:leader="dot"/>
        </w:tabs>
        <w:spacing w:after="40" w:line="300"/>
        <w:ind w:left="400" w:firstLine="0"/>
        <w:jc w:val="left"/>
      </w:pPr>
      <w:r>
        <w:rPr>
          <w:b w:val="false"/>
          <w:bCs w:val="false"/>
        </w:rPr>
        <w:t xml:space="preserve">4.4. Factori asociați cu ameliorarea</w:t>
      </w:r>
      <w:r>
        <w:t xml:space="preserve">	12</w:t>
      </w:r>
    </w:p>
    <w:p>
      <w:pPr>
        <w:tabs>
          <w:tab w:val="right" w:pos="9026" w:leader="dot"/>
        </w:tabs>
        <w:spacing w:after="40" w:line="300"/>
        <w:ind w:left="400" w:firstLine="0"/>
        <w:jc w:val="left"/>
      </w:pPr>
      <w:r>
        <w:rPr>
          <w:b w:val="false"/>
          <w:bCs w:val="false"/>
        </w:rPr>
        <w:t xml:space="preserve">4.5. Interpretarea autorului și propuneri</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Exerciții din faza a II-a</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Obiectivele recuperării după artroplastia totală de genunchi</w:t>
      </w:r>
      <w:r>
        <w:t xml:space="preserve">	7</w:t>
      </w:r>
    </w:p>
    <w:p>
      <w:pPr>
        <w:tabs>
          <w:tab w:val="right" w:pos="9026" w:leader="dot"/>
        </w:tabs>
        <w:spacing w:after="40" w:line="300"/>
        <w:ind w:left="0" w:firstLine="0"/>
        <w:jc w:val="left"/>
      </w:pPr>
      <w:r>
        <w:rPr>
          <w:b w:val="false"/>
          <w:bCs w:val="false"/>
        </w:rPr>
        <w:t xml:space="preserve">Figura 2. Etapele cercetării</w:t>
      </w:r>
      <w:r>
        <w:t xml:space="preserve">	8</w:t>
      </w:r>
    </w:p>
    <w:p>
      <w:pPr>
        <w:tabs>
          <w:tab w:val="right" w:pos="9026" w:leader="dot"/>
        </w:tabs>
        <w:spacing w:after="40" w:line="300"/>
        <w:ind w:left="0" w:firstLine="0"/>
        <w:jc w:val="left"/>
      </w:pPr>
      <w:r>
        <w:rPr>
          <w:b w:val="false"/>
          <w:bCs w:val="false"/>
        </w:rPr>
        <w:t xml:space="preserve">Figura 3. Fazele recuperării după intervenție</w:t>
      </w:r>
      <w:r>
        <w:t xml:space="preserve">	9</w:t>
      </w:r>
    </w:p>
    <w:p>
      <w:pPr>
        <w:tabs>
          <w:tab w:val="right" w:pos="9026" w:leader="dot"/>
        </w:tabs>
        <w:spacing w:after="40" w:line="300"/>
        <w:ind w:left="0" w:firstLine="0"/>
        <w:jc w:val="left"/>
      </w:pPr>
      <w:r>
        <w:rPr>
          <w:b w:val="false"/>
          <w:bCs w:val="false"/>
        </w:rPr>
        <w:t xml:space="preserve">Figura 4. Evoluția flexiei medii a genunchiului, pe protocoale (°)</w:t>
      </w:r>
      <w:r>
        <w:t xml:space="preserve">	11</w:t>
      </w:r>
    </w:p>
    <w:p>
      <w:pPr>
        <w:tabs>
          <w:tab w:val="right" w:pos="9026" w:leader="dot"/>
        </w:tabs>
        <w:spacing w:after="40" w:line="300"/>
        <w:ind w:left="0" w:firstLine="0"/>
        <w:jc w:val="left"/>
      </w:pPr>
      <w:r>
        <w:rPr>
          <w:b w:val="false"/>
          <w:bCs w:val="false"/>
        </w:rPr>
        <w:t xml:space="preserve">Figura 5. Evoluția scorului funcțional mediu, pe protocoale</w:t>
      </w:r>
      <w:r>
        <w:t xml:space="preserve">	12</w:t>
      </w:r>
    </w:p>
    <w:p>
      <w:pPr>
        <w:tabs>
          <w:tab w:val="right" w:pos="9026" w:leader="dot"/>
        </w:tabs>
        <w:spacing w:after="40" w:line="300"/>
        <w:ind w:left="0" w:firstLine="0"/>
        <w:jc w:val="left"/>
      </w:pPr>
      <w:r>
        <w:rPr>
          <w:b w:val="false"/>
          <w:bCs w:val="false"/>
        </w:rPr>
        <w:t xml:space="preserve">Figura 6. Câștigul la scorul funcțional, pe protocoale</w:t>
      </w:r>
      <w:r>
        <w:t xml:space="preserve">	12</w:t>
      </w:r>
    </w:p>
    <w:p>
      <w:pPr>
        <w:tabs>
          <w:tab w:val="right" w:pos="9026" w:leader="dot"/>
        </w:tabs>
        <w:spacing w:after="40" w:line="300"/>
        <w:ind w:left="0" w:firstLine="0"/>
        <w:jc w:val="left"/>
      </w:pPr>
      <w:r>
        <w:rPr>
          <w:b w:val="false"/>
          <w:bCs w:val="false"/>
        </w:rPr>
        <w:t xml:space="preserve">Figura 7. Relația dintre vârstă și câștigul de flexie</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Flexia genunchiului necesară pentru activitățile zilnice (valori orientative)</w:t>
      </w:r>
      <w:r>
        <w:t xml:space="preserve">	7</w:t>
      </w:r>
    </w:p>
    <w:p>
      <w:pPr>
        <w:tabs>
          <w:tab w:val="right" w:pos="9026" w:leader="dot"/>
        </w:tabs>
        <w:spacing w:after="40" w:line="300"/>
        <w:ind w:left="0" w:firstLine="0"/>
        <w:jc w:val="left"/>
      </w:pPr>
      <w:r>
        <w:rPr>
          <w:b w:val="false"/>
          <w:bCs w:val="false"/>
        </w:rPr>
        <w:t xml:space="preserve">Tabelul 2. Parametrii evaluați la evaluarea inițială și finală</w:t>
      </w:r>
      <w:r>
        <w:t xml:space="preserve">	8</w:t>
      </w:r>
    </w:p>
    <w:p>
      <w:pPr>
        <w:tabs>
          <w:tab w:val="right" w:pos="9026" w:leader="dot"/>
        </w:tabs>
        <w:spacing w:after="40" w:line="300"/>
        <w:ind w:left="0" w:firstLine="0"/>
        <w:jc w:val="left"/>
      </w:pPr>
      <w:r>
        <w:rPr>
          <w:b w:val="false"/>
          <w:bCs w:val="false"/>
        </w:rPr>
        <w:t xml:space="preserve">Tabelul 3. Programul de recuperare pe faze (protocolul standard)</w:t>
      </w:r>
      <w:r>
        <w:t xml:space="preserve">	9</w:t>
      </w:r>
    </w:p>
    <w:p>
      <w:pPr>
        <w:tabs>
          <w:tab w:val="right" w:pos="9026" w:leader="dot"/>
        </w:tabs>
        <w:spacing w:after="40" w:line="300"/>
        <w:ind w:left="0" w:firstLine="0"/>
        <w:jc w:val="left"/>
      </w:pPr>
      <w:r>
        <w:rPr>
          <w:b w:val="false"/>
          <w:bCs w:val="false"/>
        </w:rPr>
        <w:t xml:space="preserve">Tabelul 4. Comparația protocoalelor la evaluarea inițială</w:t>
      </w:r>
      <w:r>
        <w:t xml:space="preserve">	10</w:t>
      </w:r>
    </w:p>
    <w:p>
      <w:pPr>
        <w:tabs>
          <w:tab w:val="right" w:pos="9026" w:leader="dot"/>
        </w:tabs>
        <w:spacing w:after="40" w:line="300"/>
        <w:ind w:left="0" w:firstLine="0"/>
        <w:jc w:val="left"/>
      </w:pPr>
      <w:r>
        <w:rPr>
          <w:b w:val="false"/>
          <w:bCs w:val="false"/>
        </w:rPr>
        <w:t xml:space="preserve">Tabelul 5. Evaluarea inițială și finală pentru întregul lot</w:t>
      </w:r>
      <w:r>
        <w:t xml:space="preserve">	10</w:t>
      </w:r>
    </w:p>
    <w:p>
      <w:pPr>
        <w:tabs>
          <w:tab w:val="right" w:pos="9026" w:leader="dot"/>
        </w:tabs>
        <w:spacing w:after="40" w:line="300"/>
        <w:ind w:left="0" w:firstLine="0"/>
        <w:jc w:val="left"/>
      </w:pPr>
      <w:r>
        <w:rPr>
          <w:b w:val="false"/>
          <w:bCs w:val="false"/>
        </w:rPr>
        <w:t xml:space="preserve">Tabelul 6. Ameliorarea parametrilor (final față de inițial), pe protocoale</w:t>
      </w:r>
      <w:r>
        <w:t xml:space="preserve">	11</w:t>
      </w:r>
    </w:p>
    <w:p>
      <w:pPr>
        <w:tabs>
          <w:tab w:val="right" w:pos="9026" w:leader="dot"/>
        </w:tabs>
        <w:spacing w:after="40" w:line="300"/>
        <w:ind w:left="0" w:firstLine="0"/>
        <w:jc w:val="left"/>
      </w:pPr>
      <w:r>
        <w:rPr>
          <w:b w:val="false"/>
          <w:bCs w:val="false"/>
        </w:rPr>
        <w:t xml:space="preserve">Tabelul 7. Corelațiile dintre vârstă și ameliorarea parametrilor</w:t>
      </w:r>
      <w:r>
        <w:t xml:space="preserve">	12</w:t>
      </w:r>
    </w:p>
    <w:p>
      <w:pPr>
        <w:tabs>
          <w:tab w:val="right" w:pos="9026" w:leader="dot"/>
        </w:tabs>
        <w:spacing w:after="40" w:line="300"/>
        <w:ind w:left="0" w:firstLine="0"/>
        <w:jc w:val="left"/>
      </w:pPr>
      <w:r>
        <w:rPr>
          <w:b w:val="false"/>
          <w:bCs w:val="false"/>
        </w:rPr>
        <w:t xml:space="preserve">Tabelul 8. Criterii orientative de trecere de la o fază la alta, propuse de autor</w:t>
      </w:r>
      <w:r>
        <w:t xml:space="preserve">	13</w:t>
      </w:r>
    </w:p>
    <w:p>
      <w:pPr>
        <w:tabs>
          <w:tab w:val="right" w:pos="9026" w:leader="dot"/>
        </w:tabs>
        <w:spacing w:after="40" w:line="300"/>
        <w:ind w:left="0" w:firstLine="0"/>
        <w:jc w:val="left"/>
      </w:pPr>
      <w:r>
        <w:rPr>
          <w:b w:val="false"/>
          <w:bCs w:val="false"/>
        </w:rPr>
        <w:t xml:space="preserve">Tabelul 9. Exerciții din faza a II-a: descriere și dozare</w:t>
      </w:r>
      <w:r>
        <w:t xml:space="preserve">	16</w:t>
      </w:r>
    </w:p>
    <w:p>
      <w:pPr>
        <w:pStyle w:val="Heading1"/>
        <w:pageBreakBefore/>
      </w:pPr>
      <w:commentRangeStart w:id="3"/>
      <w:r>
        <w:t xml:space="preserve">Rezumat</w:t>
      </w:r>
      <w:commentRangeEnd w:id="3"/>
      <w:r>
        <w:commentReference w:id="3"/>
      </w:r>
    </w:p>
    <w:p>
      <w:r>
        <w:t xml:space="preserve">Lucrarea compară două protocoale de recuperare kinetoterapeutică după artroplastia totală de genunchi: un protocol standard și un protocol extins, cu exerciții suplimentare de forță și de echilibru. Pe un lot simulat de 30 de pacienți am evaluat, la 2 săptămâni după operație și după 8 săptămâni de program, flexia genunchiului (goniometrie), forța cvadricepsului (dinamometrie), durerea (VAS) și funcția genunchiului (chestionar 0–100). Ambele protocoale au produs ameliorări importante. Protocolul extins a adus câștiguri semnificativ mai mari de flexie, forță și scor funcțional, iar reducerea durerii a fost similară. Ameliorarea funcției a fost asociată cu câștigul de flexie și de forță. Pe baza rezultatelor propunem criterii funcționale orientative pentru trecerea de la o fază de recuperare la alta. Lucrarea descrie și programul de recuperare pe faze și exercițiile folosite, cu dozarea lor orientativă.</w:t>
      </w:r>
    </w:p>
    <w:p>
      <w:pPr>
        <w:spacing w:after="400"/>
        <w:ind w:firstLine="0"/>
        <w:jc w:val="left"/>
      </w:pPr>
      <w:r>
        <w:rPr>
          <w:b/>
          <w:bCs/>
        </w:rPr>
        <w:t xml:space="preserve">Cuvinte-cheie:</w:t>
      </w:r>
      <w:r>
        <w:t xml:space="preserve"> artroplastie de genunchi, kinetoterapie, goniometrie, forță musculară, durere, recuperare funcțională</w:t>
      </w:r>
    </w:p>
    <w:p>
      <w:pPr>
        <w:spacing w:after="200"/>
        <w:ind w:firstLine="0"/>
        <w:jc w:val="center"/>
      </w:pPr>
      <w:r>
        <w:rPr>
          <w:b/>
          <w:bCs/>
          <w:color w:val="16233F"/>
          <w:sz w:val="26"/>
          <w:szCs w:val="26"/>
        </w:rPr>
        <w:t xml:space="preserve">Abstract</w:t>
      </w:r>
    </w:p>
    <w:p>
      <w:r>
        <w:t xml:space="preserve">This thesis compares two physiotherapy protocols after total knee arthroplasty: a standard protocol and an extended protocol with additional strength and balance exercises. In a simulated sample of 30 patients, knee flexion (goniometry), quadriceps strength (dynamometry), pain (VAS) and knee function (0–100 questionnaire) were assessed two weeks after surgery and after an 8-week programme. Both protocols led to clear improvements. The extended protocol produced significantly larger gains in flexion, strength and function, while pain reduction was similar. Functional improvement was associated with gains in flexion and strength. Based on the results, the thesis proposes indicative functional criteria for progressing from one rehabilitation phase to the next. The thesis also describes the phase-based programme and the exercises used, with their indicative dosage.</w:t>
      </w:r>
    </w:p>
    <w:p>
      <w:pPr>
        <w:ind w:firstLine="0"/>
        <w:jc w:val="left"/>
      </w:pPr>
      <w:r>
        <w:rPr>
          <w:b/>
          <w:bCs/>
        </w:rPr>
        <w:t xml:space="preserve">Keywords:</w:t>
      </w:r>
      <w:r>
        <w:t xml:space="preserve"> knee arthroplasty, physiotherapy, goniometry, muscle strength, pain, functional rehabilitation</w:t>
      </w:r>
    </w:p>
    <w:p>
      <w:pPr>
        <w:pStyle w:val="Heading1"/>
        <w:pageBreakBefore/>
      </w:pPr>
      <w:commentRangeStart w:id="4"/>
      <w:r>
        <w:t xml:space="preserve">Introducere</w:t>
      </w:r>
      <w:commentRangeEnd w:id="4"/>
      <w:r>
        <w:commentReference w:id="4"/>
      </w:r>
    </w:p>
    <w:p>
      <w:r>
        <w:t xml:space="preserve">Gonartroza avansată este una dintre cele mai frecvente cauze de durere și limitare a mersului la vârstnici. Când tratamentul conservator nu mai ajută, se recomandă artroplastia totală de genunchi, iar rezultatul final depinde în mare măsură de recuperarea kinetoterapeutică.</w:t>
      </w:r>
    </w:p>
    <w:p>
      <w:r>
        <w:t xml:space="preserve">Lucrarea compară două protocoale de recuperare aplicate după artroplastie: un protocol standard și un protocol extins, care adaugă exerciții progresive de forță și de echilibru.</w:t>
      </w:r>
    </w:p>
    <w:p>
      <w:r>
        <w:rPr>
          <w:b/>
          <w:bCs/>
        </w:rPr>
        <w:t xml:space="preserve">Obiectivele lucrării</w:t>
      </w:r>
      <w:r>
        <w:t xml:space="preserve"> sunt:</w:t>
      </w:r>
    </w:p>
    <w:p>
      <w:pPr>
        <w:tabs>
          <w:tab w:val="left" w:pos="709"/>
        </w:tabs>
        <w:spacing w:after="60"/>
        <w:ind w:left="709" w:hanging="357" w:firstLine="0"/>
        <w:jc w:val="left"/>
      </w:pPr>
      <w:r>
        <w:t xml:space="preserve">1.	</w:t>
      </w:r>
      <w:r>
        <w:t xml:space="preserve">evaluarea mobilității, forței, durerii și funcției genunchiului la începutul și la sfârșitul programului;</w:t>
      </w:r>
    </w:p>
    <w:p>
      <w:pPr>
        <w:tabs>
          <w:tab w:val="left" w:pos="709"/>
        </w:tabs>
        <w:spacing w:after="60"/>
        <w:ind w:left="709" w:hanging="357" w:firstLine="0"/>
        <w:jc w:val="left"/>
      </w:pPr>
      <w:r>
        <w:t xml:space="preserve">2.	</w:t>
      </w:r>
      <w:r>
        <w:t xml:space="preserve">compararea ameliorărilor obținute cu cele două protocoale;</w:t>
      </w:r>
    </w:p>
    <w:p>
      <w:pPr>
        <w:tabs>
          <w:tab w:val="left" w:pos="709"/>
        </w:tabs>
        <w:spacing w:after="60"/>
        <w:ind w:left="709" w:hanging="357" w:firstLine="0"/>
        <w:jc w:val="left"/>
      </w:pPr>
      <w:commentRangeStart w:id="5"/>
      <w:r>
        <w:t xml:space="preserve">3.	</w:t>
      </w:r>
      <w:r>
        <w:t xml:space="preserve">propunerea unor criterii practice de progresie între fazele recuperării.</w:t>
      </w:r>
      <w:commentRangeEnd w:id="5"/>
      <w:r>
        <w:commentReference w:id="5"/>
      </w:r>
    </w:p>
    <w:p>
      <w:pPr>
        <w:pStyle w:val="Heading1"/>
        <w:pageBreakBefore/>
      </w:pPr>
      <w:commentRangeStart w:id="6"/>
      <w:r>
        <w:t xml:space="preserve">Capitolul 1. Cadrul teoretic al afecțiunii</w:t>
      </w:r>
      <w:commentRangeEnd w:id="6"/>
      <w:r>
        <w:commentReference w:id="6"/>
      </w:r>
    </w:p>
    <w:p>
      <w:pPr>
        <w:pStyle w:val="Heading2"/>
        <w:keepNext/>
      </w:pPr>
      <w:r>
        <w:t xml:space="preserve">1.1. Biomecanica genunchiului</w:t>
      </w:r>
    </w:p>
    <w:p>
      <w:r>
        <w:t xml:space="preserve">Genunchiul permite în principal flexia și extensia. Pentru activitățile zilnice nu este nevoie de amplitudinea maximă, ci de o flexie funcțională, diferită de la o activitate la alta (Tabelul 1; Munteanu, 2020).</w:t>
      </w:r>
    </w:p>
    <w:p>
      <w:pPr>
        <w:keepNext/>
        <w:spacing w:after="80" w:before="200" w:line="260"/>
        <w:ind w:firstLine="0"/>
        <w:jc w:val="left"/>
      </w:pPr>
      <w:r>
        <w:rPr>
          <w:b/>
          <w:bCs/>
          <w:sz w:val="22"/>
          <w:szCs w:val="22"/>
        </w:rPr>
        <w:t xml:space="preserve">Tabelul 1.</w:t>
      </w:r>
      <w:r>
        <w:rPr>
          <w:sz w:val="22"/>
          <w:szCs w:val="22"/>
        </w:rPr>
        <w:t xml:space="preserve"> Flexia genunchiului necesară pentru activitățile zilnice (valori orientative)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184"/>
        <w:gridCol w:w="2886"/>
      </w:tblGrid>
      <w:tr>
        <w:trPr>
          <w:tblHeader/>
        </w:trPr>
        <w:tc>
          <w:tcPr>
            <w:tcW w:type="dxa" w:w="61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Activitatea</w:t>
            </w:r>
          </w:p>
        </w:tc>
        <w:tc>
          <w:tcPr>
            <w:tcW w:type="dxa" w:w="288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Flexia necesară</w:t>
            </w:r>
          </w:p>
        </w:tc>
      </w:tr>
      <w:tr>
        <w:trPr>
          <w:cantSplit/>
        </w:trPr>
        <w:tc>
          <w:tcPr>
            <w:tcW w:type="dxa" w:w="61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Mers pe teren plat</w:t>
            </w:r>
          </w:p>
        </w:tc>
        <w:tc>
          <w:tcPr>
            <w:tcW w:type="dxa" w:w="28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60–70°</w:t>
            </w:r>
          </w:p>
        </w:tc>
      </w:tr>
      <w:tr>
        <w:trPr>
          <w:cantSplit/>
        </w:trPr>
        <w:tc>
          <w:tcPr>
            <w:tcW w:type="dxa" w:w="61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Urcatul scărilor</w:t>
            </w:r>
          </w:p>
        </w:tc>
        <w:tc>
          <w:tcPr>
            <w:tcW w:type="dxa" w:w="28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80–90°</w:t>
            </w:r>
          </w:p>
        </w:tc>
      </w:tr>
      <w:tr>
        <w:trPr>
          <w:cantSplit/>
        </w:trPr>
        <w:tc>
          <w:tcPr>
            <w:tcW w:type="dxa" w:w="61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Coborâtul scărilor</w:t>
            </w:r>
          </w:p>
        </w:tc>
        <w:tc>
          <w:tcPr>
            <w:tcW w:type="dxa" w:w="28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90–100°</w:t>
            </w:r>
          </w:p>
        </w:tc>
      </w:tr>
      <w:tr>
        <w:trPr>
          <w:cantSplit/>
        </w:trPr>
        <w:tc>
          <w:tcPr>
            <w:tcW w:type="dxa" w:w="61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Ridicarea de pe un scaun obișnuit</w:t>
            </w:r>
          </w:p>
        </w:tc>
        <w:tc>
          <w:tcPr>
            <w:tcW w:type="dxa" w:w="28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90–105°</w:t>
            </w:r>
          </w:p>
        </w:tc>
      </w:tr>
    </w:tbl>
    <w:p>
      <w:pPr>
        <w:spacing w:after="200" w:before="40" w:line="240"/>
        <w:ind w:firstLine="0"/>
        <w:jc w:val="left"/>
      </w:pPr>
      <w:r>
        <w:rPr>
          <w:i/>
          <w:iCs/>
          <w:color w:val="7A8191"/>
          <w:sz w:val="18"/>
          <w:szCs w:val="18"/>
        </w:rPr>
        <w:t xml:space="preserve">Sursa: Sinteză orientativă după surse generice (fictive). În lucrarea ta citezi studiul de biomecanică original.</w:t>
      </w:r>
    </w:p>
    <w:p>
      <w:pPr>
        <w:pStyle w:val="Heading2"/>
        <w:keepNext/>
      </w:pPr>
      <w:r>
        <w:t xml:space="preserve">1.2. Artroplastia totală de genunchi și obiectivele recuperării</w:t>
      </w:r>
    </w:p>
    <w:p>
      <w:r>
        <w:t xml:space="preserve">Artroplastia înlocuiește suprafețele articulare afectate cu componente protetice. După intervenție, recuperarea urmărește controlul durerii, refacerea mobilității și a forței, reeducarea mersului și independența în activitățile zilnice (Figura 1; Dinu și Avram, 2021).</w:t>
      </w:r>
    </w:p>
    <w:p>
      <w:pPr>
        <w:keepNext/>
        <w:spacing w:after="60" w:before="160" w:line="240"/>
        <w:ind w:firstLine="0"/>
        <w:jc w:val="center"/>
      </w:pPr>
      <w:r>
        <w:drawing>
          <wp:inline distT="0" distB="0" distL="0" distR="0">
            <wp:extent cx="5762625" cy="2924175"/>
            <wp:effectExtent t="0" r="0" b="0" l="0"/>
            <wp:docPr id="1" name="Figura 1" descr="Obiectivele recuperării după artroplastia totală de genunchi" title="Obiectivele recuperării după artroplastia totală de genun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Obiectivele recuperării după artroplastia totală de genunchi</w:t>
      </w:r>
    </w:p>
    <w:p>
      <w:pPr>
        <w:spacing w:after="200" w:line="240"/>
        <w:ind w:firstLine="0"/>
        <w:jc w:val="center"/>
      </w:pPr>
      <w:r>
        <w:rPr>
          <w:i/>
          <w:iCs/>
          <w:color w:val="7A8191"/>
          <w:sz w:val="18"/>
          <w:szCs w:val="18"/>
        </w:rPr>
        <w:t xml:space="preserve">Sursa: Prelucrare proprie.</w:t>
      </w:r>
    </w:p>
    <w:p>
      <w:pPr>
        <w:pStyle w:val="Heading1"/>
        <w:pageBreakBefore/>
      </w:pPr>
      <w:commentRangeStart w:id="7"/>
      <w:r>
        <w:t xml:space="preserve">Capitolul 2. Evaluarea funcțională și metodologia cercetării</w:t>
      </w:r>
      <w:commentRangeEnd w:id="7"/>
      <w:r>
        <w:commentReference w:id="7"/>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Pacienții din protocolul extins obțin o ameliorare mai mare a flexiei și a forței cvadricepsului.</w:t>
      </w:r>
    </w:p>
    <w:p>
      <w:pPr>
        <w:tabs>
          <w:tab w:val="left" w:pos="709"/>
        </w:tabs>
        <w:spacing w:after="60"/>
        <w:ind w:left="709" w:hanging="357" w:firstLine="0"/>
        <w:jc w:val="left"/>
      </w:pPr>
      <w:r>
        <w:t xml:space="preserve">•	</w:t>
      </w:r>
      <w:r>
        <w:rPr>
          <w:b/>
          <w:bCs/>
        </w:rPr>
        <w:t xml:space="preserve">I2.</w:t>
      </w:r>
      <w:r>
        <w:t xml:space="preserve"> Pacienții din protocolul extins obțin o ameliorare mai mare a durerii și a scorului funcțional.</w:t>
      </w:r>
    </w:p>
    <w:p>
      <w:pPr>
        <w:pStyle w:val="Heading2"/>
        <w:keepNext/>
      </w:pPr>
      <w:r>
        <w:t xml:space="preserve">2.2. Pacienții și etapele cercetării</w:t>
      </w:r>
    </w:p>
    <w:p>
      <w:r>
        <w:t xml:space="preserve">Studiul a inclus 30 de pacienți (date simulate) după artroplastie totală de genunchi primară, tratați într-un centru de recuperare: 16 au urmat protocolul standard și 14 protocolul extins. Evaluarea inițială s-a făcut la 2 săptămâni după operație, iar cea finală după 8 săptămâni de program (Figura 2).</w:t>
      </w:r>
    </w:p>
    <w:p>
      <w:pPr>
        <w:keepNext/>
        <w:spacing w:after="60" w:before="160" w:line="240"/>
        <w:ind w:firstLine="0"/>
        <w:jc w:val="center"/>
      </w:pPr>
      <w:r>
        <w:drawing>
          <wp:inline distT="0" distB="0" distL="0" distR="0">
            <wp:extent cx="5762625" cy="1924050"/>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pStyle w:val="Heading2"/>
        <w:keepNext/>
      </w:pPr>
      <w:r>
        <w:t xml:space="preserve">2.3. Instrumentele de evaluare</w:t>
      </w:r>
    </w:p>
    <w:p>
      <w:pPr>
        <w:keepNext/>
        <w:spacing w:after="80" w:before="200" w:line="260"/>
        <w:ind w:firstLine="0"/>
        <w:jc w:val="left"/>
      </w:pPr>
      <w:r>
        <w:rPr>
          <w:b/>
          <w:bCs/>
          <w:sz w:val="22"/>
          <w:szCs w:val="22"/>
        </w:rPr>
        <w:t xml:space="preserve">Tabelul 2.</w:t>
      </w:r>
      <w:r>
        <w:rPr>
          <w:sz w:val="22"/>
          <w:szCs w:val="22"/>
        </w:rPr>
        <w:t xml:space="preserve"> Parametrii evaluați la evaluarea inițială și finală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48"/>
        <w:gridCol w:w="2779"/>
        <w:gridCol w:w="1316"/>
        <w:gridCol w:w="2926"/>
      </w:tblGrid>
      <w:tr>
        <w:trPr>
          <w:tblHeader/>
        </w:trPr>
        <w:tc>
          <w:tcPr>
            <w:tcW w:type="dxa" w:w="204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27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Instrumentul</w:t>
            </w:r>
          </w:p>
        </w:tc>
        <w:tc>
          <w:tcPr>
            <w:tcW w:type="dxa" w:w="13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Unitatea</w:t>
            </w:r>
          </w:p>
        </w:tc>
        <w:tc>
          <w:tcPr>
            <w:tcW w:type="dxa" w:w="29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Interpretarea</w:t>
            </w:r>
          </w:p>
        </w:tc>
      </w:tr>
      <w:tr>
        <w:trPr>
          <w:cantSplit/>
        </w:trPr>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Mobilitatea articulară</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Goniometrie, flexia activă din decubit dorsal</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grade (°)</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Valoare mai mare = mobilitate mai bună</w:t>
            </w:r>
          </w:p>
        </w:tc>
      </w:tr>
      <w:tr>
        <w:trPr>
          <w:cantSplit/>
        </w:trPr>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Forța cvadricepsului</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Dinamometru manual, extensia genunchiului din așezat</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kg</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Valoare mai mare = forță mai bună</w:t>
            </w:r>
          </w:p>
        </w:tc>
      </w:tr>
      <w:tr>
        <w:trPr>
          <w:cantSplit/>
        </w:trPr>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Durerea</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Scala analog-vizuală (VAS), la mers</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Valoare mai mică = durere mai mică</w:t>
            </w:r>
          </w:p>
        </w:tc>
      </w:tr>
      <w:tr>
        <w:trPr>
          <w:cantSplit/>
        </w:trPr>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Funcția genunchiului</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Chestionar funcțional autoaplicat</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0–100</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Valoare mai mare = funcție mai bună</w:t>
            </w:r>
          </w:p>
        </w:tc>
      </w:tr>
    </w:tbl>
    <w:p>
      <w:pPr>
        <w:keepNext/>
        <w:spacing w:after="0" w:before="60" w:line="240"/>
        <w:ind w:firstLine="0"/>
        <w:jc w:val="left"/>
      </w:pPr>
      <w:r>
        <w:rPr>
          <w:i/>
          <w:iCs/>
          <w:sz w:val="18"/>
          <w:szCs w:val="18"/>
        </w:rPr>
        <w:t xml:space="preserve">Notă.</w:t>
      </w:r>
      <w:r>
        <w:rPr>
          <w:sz w:val="18"/>
          <w:szCs w:val="18"/>
        </w:rPr>
        <w:t xml:space="preserve"> În lucrarea reală folosești un chestionar funcțional validat (de exemplu KOOS sau WOMAC) și citezi articolul original.</w:t>
      </w:r>
    </w:p>
    <w:p>
      <w:pPr>
        <w:spacing w:after="200" w:before="40" w:line="240"/>
        <w:ind w:firstLine="0"/>
        <w:jc w:val="left"/>
      </w:pPr>
      <w:commentRangeStart w:id="8"/>
      <w:r>
        <w:rPr>
          <w:i/>
          <w:iCs/>
          <w:color w:val="7A8191"/>
          <w:sz w:val="18"/>
          <w:szCs w:val="18"/>
        </w:rPr>
        <w:t xml:space="preserve">Sursa: Protocol de evaluare stabilit de autor.</w:t>
      </w:r>
      <w:commentRangeEnd w:id="8"/>
      <w:r>
        <w:commentReference w:id="8"/>
      </w:r>
    </w:p>
    <w:p>
      <w:pPr>
        <w:pStyle w:val="Heading1"/>
        <w:pageBreakBefore/>
      </w:pPr>
      <w:commentRangeStart w:id="9"/>
      <w:r>
        <w:t xml:space="preserve">Capitolul 3. Programul kinetic</w:t>
      </w:r>
      <w:commentRangeEnd w:id="9"/>
      <w:r>
        <w:commentReference w:id="9"/>
      </w:r>
    </w:p>
    <w:p>
      <w:r>
        <w:t xml:space="preserve">Recuperarea se desfășoară în faze succesive, de la mobilizarea precoce din spital până la menținerea rezultatelor la domiciliu (Figura 3). Ambele protocoale au urmat aceleași faze (Tabelul 3). Protocolul extins a adăugat în fazele II–III exerciții progresive de forță pentru cvadriceps și exerciții de echilibru. Exemple de exerciții din faza a II-a, cu poziția inițială, execuția și dozarea, sunt prezentate în Anexa 1.</w:t>
      </w:r>
    </w:p>
    <w:p>
      <w:pPr>
        <w:keepNext/>
        <w:spacing w:after="60" w:before="160" w:line="240"/>
        <w:ind w:firstLine="0"/>
        <w:jc w:val="center"/>
      </w:pPr>
      <w:r>
        <w:drawing>
          <wp:inline distT="0" distB="0" distL="0" distR="0">
            <wp:extent cx="5762625" cy="2190750"/>
            <wp:effectExtent t="0" r="0" b="0" l="0"/>
            <wp:docPr id="3" name="Figura 3" descr="Fazele recuperării după intervenție" title="Fazele recuperării după intervenț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907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Fazele recuperării după intervenție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Programul de recuperare pe faze (protocolul standard)</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559"/>
        <w:gridCol w:w="2409"/>
        <w:gridCol w:w="3401"/>
        <w:gridCol w:w="1700"/>
      </w:tblGrid>
      <w:tr>
        <w:trPr>
          <w:tblHeader/>
        </w:trPr>
        <w:tc>
          <w:tcPr>
            <w:tcW w:type="dxa" w:w="15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Faza</w:t>
            </w:r>
          </w:p>
        </w:tc>
        <w:tc>
          <w:tcPr>
            <w:tcW w:type="dxa" w:w="24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34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Mijloace kinetice</w:t>
            </w:r>
          </w:p>
        </w:tc>
        <w:tc>
          <w:tcPr>
            <w:tcW w:type="dxa" w:w="17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Dozare orientativă</w:t>
            </w:r>
          </w:p>
        </w:tc>
      </w:tr>
      <w:tr>
        <w:trPr>
          <w:cantSplit/>
        </w:trPr>
        <w:tc>
          <w:tcPr>
            <w:tcW w:type="dxa" w:w="15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 Postoperator precoce (zilele 1–5)</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Controlul durerii și al edemului, prevenirea complicațiilor</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Posturări, contracții izometrice ale cvadricepsului, mobilizări pasive și active-asistate, ridicarea din pat, mers cu cadru</w:t>
            </w:r>
          </w:p>
        </w:tc>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ședințe pe zi, 10–15 min</w:t>
            </w:r>
          </w:p>
        </w:tc>
      </w:tr>
      <w:tr>
        <w:trPr>
          <w:cantSplit/>
        </w:trPr>
        <w:tc>
          <w:tcPr>
            <w:tcW w:type="dxa" w:w="15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II. Recuperare (săpt. 2–6)</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Extensie completă, flexie de peste 90°, mers cu baston</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Exerciții active, bicicletă ergometrică fără rezistență, ridicări de pe scaun, reeducarea mersului</w:t>
            </w:r>
          </w:p>
        </w:tc>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 ședințe pe săptămână, 45 min</w:t>
            </w:r>
          </w:p>
        </w:tc>
      </w:tr>
      <w:tr>
        <w:trPr>
          <w:cantSplit/>
        </w:trPr>
        <w:tc>
          <w:tcPr>
            <w:tcW w:type="dxa" w:w="15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III. Consolidare (săpt. 7–12)</w:t>
            </w:r>
          </w:p>
        </w:tc>
        <w:tc>
          <w:tcPr>
            <w:tcW w:type="dxa" w:w="24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Forță, echilibru, mers fără sprijin, urcatul scărilor</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Exerciții cu benzi elastice, exerciții de echilibru, urcat și coborât pe treaptă</w:t>
            </w:r>
          </w:p>
        </w:tc>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ședințe pe săptămână + program la domiciliu</w:t>
            </w:r>
          </w:p>
        </w:tc>
      </w:tr>
      <w:tr>
        <w:trPr>
          <w:cantSplit/>
        </w:trPr>
        <w:tc>
          <w:tcPr>
            <w:tcW w:type="dxa" w:w="15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IV. Menținere (după 3 luni)</w:t>
            </w:r>
          </w:p>
        </w:tc>
        <w:tc>
          <w:tcPr>
            <w:tcW w:type="dxa" w:w="24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Reluarea activităților zilnice și recreative</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Mers, bicicletă, înot (cu acordul medicului)</w:t>
            </w:r>
          </w:p>
        </w:tc>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 individual la domiciliu</w:t>
            </w:r>
          </w:p>
        </w:tc>
      </w:tr>
    </w:tbl>
    <w:p>
      <w:pPr>
        <w:keepNext/>
        <w:spacing w:after="0" w:before="60" w:line="240"/>
        <w:ind w:firstLine="0"/>
        <w:jc w:val="left"/>
      </w:pPr>
      <w:r>
        <w:rPr>
          <w:i/>
          <w:iCs/>
          <w:sz w:val="18"/>
          <w:szCs w:val="18"/>
        </w:rPr>
        <w:t xml:space="preserve">Notă.</w:t>
      </w:r>
      <w:r>
        <w:rPr>
          <w:sz w:val="18"/>
          <w:szCs w:val="18"/>
        </w:rPr>
        <w:t xml:space="preserve"> Protocolul extins a adăugat, în fazele II–III, 20 de minute pe ședință de exerciții progresive pentru forța cvadricepsului și pentru echilibru.</w:t>
      </w:r>
    </w:p>
    <w:p>
      <w:pPr>
        <w:spacing w:after="200" w:before="40" w:line="240"/>
        <w:ind w:firstLine="0"/>
        <w:jc w:val="left"/>
      </w:pPr>
      <w:commentRangeStart w:id="10"/>
      <w:r>
        <w:rPr>
          <w:i/>
          <w:iCs/>
          <w:color w:val="7A8191"/>
          <w:sz w:val="18"/>
          <w:szCs w:val="18"/>
        </w:rPr>
        <w:t xml:space="preserve">Sursa: Sinteză proprie după surse generice (fictive); programul concret se stabilește de echipa medicală pentru fiecare pacient.</w:t>
      </w:r>
      <w:commentRangeEnd w:id="10"/>
      <w:r>
        <w:commentReference w:id="10"/>
      </w:r>
    </w:p>
    <w:p>
      <w:pPr>
        <w:pStyle w:val="Heading1"/>
        <w:pageBreakBefore/>
      </w:pPr>
      <w:commentRangeStart w:id="11"/>
      <w:r>
        <w:t xml:space="preserve">Capitolul 4. Rezultate și discuții</w:t>
      </w:r>
      <w:commentRangeEnd w:id="11"/>
      <w:r>
        <w:commentReference w:id="11"/>
      </w:r>
    </w:p>
    <w:p>
      <w:pPr>
        <w:pStyle w:val="Heading2"/>
        <w:keepNext/>
      </w:pPr>
      <w:r>
        <w:t xml:space="preserve">4.1. Evaluarea inițială</w:t>
      </w:r>
    </w:p>
    <w:p>
      <w:pPr>
        <w:keepNext/>
        <w:spacing w:after="80" w:before="200" w:line="260"/>
        <w:ind w:firstLine="0"/>
        <w:jc w:val="left"/>
      </w:pPr>
      <w:r>
        <w:rPr>
          <w:b/>
          <w:bCs/>
          <w:sz w:val="22"/>
          <w:szCs w:val="22"/>
        </w:rPr>
        <w:t xml:space="preserve">Tabelul 4.</w:t>
      </w:r>
      <w:r>
        <w:rPr>
          <w:sz w:val="22"/>
          <w:szCs w:val="22"/>
        </w:rPr>
        <w:t xml:space="preserve"> Comparația protocoalelor la evaluarea inițială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Standard: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Extins: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67,19 (5,08)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66,71 (6,81)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0,829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Flexie inițială (°)</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79,88 (7,80)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80,14 (8,78)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0,930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0,03</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Forță inițială (kg)</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9,12 (2,38)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8,88 (2,10)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0,773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0,11</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VAS inițial</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6,50 (1,37)</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5,93 (0,83)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0,50</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funcțional inițial</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45,56 (8,56)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44,50 (7,85)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0,727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0,13</w:t>
            </w:r>
          </w:p>
        </w:tc>
      </w:tr>
    </w:tbl>
    <w:p>
      <w:pPr>
        <w:keepNext/>
        <w:spacing w:after="0" w:before="60" w:line="240"/>
        <w:ind w:firstLine="0"/>
        <w:jc w:val="left"/>
      </w:pPr>
      <w:r>
        <w:rPr>
          <w:i/>
          <w:iCs/>
          <w:sz w:val="18"/>
          <w:szCs w:val="18"/>
        </w:rPr>
        <w:t xml:space="preserve">Notă.</w:t>
      </w:r>
      <w:r>
        <w:rPr>
          <w:sz w:val="18"/>
          <w:szCs w:val="18"/>
        </w:rPr>
        <w:t xml:space="preserve"> n Standard = 16, n Extins = 14.</w:t>
      </w:r>
    </w:p>
    <w:p>
      <w:pPr>
        <w:spacing w:after="200" w:before="40" w:line="240"/>
        <w:ind w:firstLine="0"/>
        <w:jc w:val="left"/>
      </w:pPr>
      <w:r>
        <w:rPr>
          <w:i/>
          <w:iCs/>
          <w:color w:val="7A8191"/>
          <w:sz w:val="18"/>
          <w:szCs w:val="18"/>
        </w:rPr>
        <w:t xml:space="preserve">Sursa: Prelucrare proprie pe baza datelor simulate.</w:t>
      </w:r>
    </w:p>
    <w:p>
      <w:r>
        <w:t xml:space="preserve">La evaluarea inițială protocoalele nu diferă semnificativ la niciun parametru (toate valorile </w:t>
      </w:r>
      <w:r>
        <w:rPr>
          <w:i/>
          <w:iCs/>
        </w:rPr>
        <w:t xml:space="preserve">p</w:t>
      </w:r>
      <w:r>
        <w:t xml:space="preserve"> &gt; 0,05, Tabelul 4), deci pacienții pornesc de la un nivel comparabil.</w:t>
      </w:r>
    </w:p>
    <w:p>
      <w:pPr>
        <w:pStyle w:val="Heading2"/>
        <w:keepNext/>
      </w:pPr>
      <w:r>
        <w:t xml:space="preserve">4.2. Evoluția întregului lot</w:t>
      </w:r>
    </w:p>
    <w:p>
      <w:pPr>
        <w:keepNext/>
        <w:spacing w:after="80" w:before="200" w:line="260"/>
        <w:ind w:firstLine="0"/>
        <w:jc w:val="left"/>
      </w:pPr>
      <w:r>
        <w:rPr>
          <w:b/>
          <w:bCs/>
          <w:sz w:val="22"/>
          <w:szCs w:val="22"/>
        </w:rPr>
        <w:t xml:space="preserve">Tabelul 5.</w:t>
      </w:r>
      <w:r>
        <w:rPr>
          <w:sz w:val="22"/>
          <w:szCs w:val="22"/>
        </w:rPr>
        <w:t xml:space="preserve"> Evaluarea inițială și finală pentru întregul lot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Flexie inițială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94</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Flexie finală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102,7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Forță inițială (kg)</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Forță finală (kg)</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19,6</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VAS inițial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VAS final</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funcțional inițial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Scor funcțional final</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67,4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92</w:t>
            </w:r>
          </w:p>
        </w:tc>
      </w:tr>
    </w:tbl>
    <w:p>
      <w:pPr>
        <w:spacing w:after="200" w:before="40" w:line="240"/>
        <w:ind w:firstLine="0"/>
        <w:jc w:val="left"/>
      </w:pPr>
      <w:r>
        <w:rPr>
          <w:i/>
          <w:iCs/>
          <w:color w:val="7A8191"/>
          <w:sz w:val="18"/>
          <w:szCs w:val="18"/>
        </w:rPr>
        <w:t xml:space="preserve">Sursa: Prelucrare proprie pe baza datelor simulate.</w:t>
      </w:r>
    </w:p>
    <w:p>
      <w:r>
        <w:t xml:space="preserve">La nivelul întregului lot, flexia medie a crescut de la 80,0° la 102,7°, durerea a scăzut de la 6,2 la 2,9 puncte VAS, iar scorul funcțional a crescut de la 45,1 la 67,4 de puncte (Tabelul 5).</w:t>
      </w:r>
    </w:p>
    <w:p>
      <w:pPr>
        <w:keepNext/>
        <w:spacing w:after="60" w:before="160" w:line="240"/>
        <w:ind w:firstLine="0"/>
        <w:jc w:val="center"/>
      </w:pPr>
      <w:r>
        <w:drawing>
          <wp:inline distT="0" distB="0" distL="0" distR="0">
            <wp:extent cx="5124450" cy="2562225"/>
            <wp:effectExtent t="0" r="0" b="0" l="0"/>
            <wp:docPr id="4" name="Figura 4" descr="Evoluția flexiei medii a genunchiului, pe protocoale (°)" title="Evoluția flexiei medii a genunchiului, pe protoco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Evoluția flexiei medii a genunchiului, pe protocoale (°)</w:t>
      </w:r>
    </w:p>
    <w:p>
      <w:pPr>
        <w:spacing w:after="200" w:line="240"/>
        <w:ind w:firstLine="0"/>
        <w:jc w:val="center"/>
      </w:pPr>
      <w:r>
        <w:rPr>
          <w:i/>
          <w:iCs/>
          <w:color w:val="7A8191"/>
          <w:sz w:val="18"/>
          <w:szCs w:val="18"/>
        </w:rPr>
        <w:t xml:space="preserve">Sursa: Prelucrare proprie.</w:t>
      </w:r>
    </w:p>
    <w:p>
      <w:pPr>
        <w:pStyle w:val="Heading2"/>
        <w:keepNext/>
      </w:pPr>
      <w:r>
        <w:t xml:space="preserve">4.3. Compararea protocoalelor (I1 și I2)</w:t>
      </w:r>
    </w:p>
    <w:p>
      <w:pPr>
        <w:keepNext/>
        <w:spacing w:after="80" w:before="200" w:line="260"/>
        <w:ind w:firstLine="0"/>
        <w:jc w:val="left"/>
      </w:pPr>
      <w:r>
        <w:rPr>
          <w:b/>
          <w:bCs/>
          <w:sz w:val="22"/>
          <w:szCs w:val="22"/>
        </w:rPr>
        <w:t xml:space="preserve">Tabelul 6.</w:t>
      </w:r>
      <w:r>
        <w:rPr>
          <w:sz w:val="22"/>
          <w:szCs w:val="22"/>
        </w:rPr>
        <w:t xml:space="preserve"> Ameliorarea parametrilor (final față de inițial), pe protocoale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Standard: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Extins: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Câștig flexie (°)</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20,44 (6,60)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25,36 (5,68)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0,039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0,79</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Câștig forță (kg)</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3,28 (1,54)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5,56 (1,52)</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1,49</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Reducere VAS</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3,38 (1,26)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3,29 (0,99)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0,833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Câștig scor funcțional</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19,12 (7,33)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25,93 (6,63)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0,013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0,97</w:t>
            </w:r>
          </w:p>
        </w:tc>
      </w:tr>
    </w:tbl>
    <w:p>
      <w:pPr>
        <w:keepNext/>
        <w:spacing w:after="0" w:before="60" w:line="240"/>
        <w:ind w:firstLine="0"/>
        <w:jc w:val="left"/>
      </w:pPr>
      <w:r>
        <w:rPr>
          <w:i/>
          <w:iCs/>
          <w:sz w:val="18"/>
          <w:szCs w:val="18"/>
        </w:rPr>
        <w:t xml:space="preserve">Notă.</w:t>
      </w:r>
      <w:r>
        <w:rPr>
          <w:sz w:val="18"/>
          <w:szCs w:val="18"/>
        </w:rPr>
        <w:t xml:space="preserve"> n Standard = 16, n Extins = 14.</w:t>
      </w:r>
    </w:p>
    <w:p>
      <w:pPr>
        <w:spacing w:after="200" w:before="40" w:line="240"/>
        <w:ind w:firstLine="0"/>
        <w:jc w:val="left"/>
      </w:pPr>
      <w:r>
        <w:rPr>
          <w:i/>
          <w:iCs/>
          <w:color w:val="7A8191"/>
          <w:sz w:val="18"/>
          <w:szCs w:val="18"/>
        </w:rPr>
        <w:t xml:space="preserve">Sursa: Prelucrare proprie pe baza datelor simulate.</w:t>
      </w:r>
    </w:p>
    <w:p>
      <w:r>
        <w:t xml:space="preserve">Protocolul extins a adus un câștig mai mare de flexie (25,36° față de 20,44°), </w:t>
      </w:r>
      <w:r>
        <w:rPr>
          <w:i/>
          <w:iCs/>
        </w:rPr>
        <w:t xml:space="preserve">t</w:t>
      </w:r>
      <w:r>
        <w:t xml:space="preserve">(28) = −2,17, </w:t>
      </w:r>
      <w:r>
        <w:rPr>
          <w:i/>
          <w:iCs/>
        </w:rPr>
        <w:t xml:space="preserve">p</w:t>
      </w:r>
      <w:r>
        <w:t xml:space="preserve"> = 0,039, </w:t>
      </w:r>
      <w:r>
        <w:rPr>
          <w:i/>
          <w:iCs/>
        </w:rPr>
        <w:t xml:space="preserve">d</w:t>
      </w:r>
      <w:r>
        <w:t xml:space="preserve"> = 0,79, și de forță (5,56 kg față de 3,28 kg), </w:t>
      </w:r>
      <w:r>
        <w:rPr>
          <w:i/>
          <w:iCs/>
        </w:rPr>
        <w:t xml:space="preserve">t</w:t>
      </w:r>
      <w:r>
        <w:t xml:space="preserve">(28) = −4,08, </w:t>
      </w:r>
      <w:r>
        <w:rPr>
          <w:i/>
          <w:iCs/>
        </w:rPr>
        <w:t xml:space="preserve">p</w:t>
      </w:r>
      <w:r>
        <w:t xml:space="preserve"> &lt; 0,001. Ipoteza I1 se confirmă.</w:t>
      </w:r>
    </w:p>
    <w:p>
      <w:r>
        <w:t xml:space="preserve">Scorul funcțional a crescut mai mult în protocolul extins, </w:t>
      </w:r>
      <w:r>
        <w:rPr>
          <w:i/>
          <w:iCs/>
        </w:rPr>
        <w:t xml:space="preserve">t</w:t>
      </w:r>
      <w:r>
        <w:t xml:space="preserve">(28) = −2,65, </w:t>
      </w:r>
      <w:r>
        <w:rPr>
          <w:i/>
          <w:iCs/>
        </w:rPr>
        <w:t xml:space="preserve">p</w:t>
      </w:r>
      <w:r>
        <w:t xml:space="preserve"> = 0,013, </w:t>
      </w:r>
      <w:r>
        <w:rPr>
          <w:i/>
          <w:iCs/>
        </w:rPr>
        <w:t xml:space="preserve">d</w:t>
      </w:r>
      <w:r>
        <w:t xml:space="preserve"> = 0,97 (Figura 5, Figura 6), dar reducerea durerii a fost practic aceeași în cele două protocoale (3,38 și 3,29 puncte, </w:t>
      </w:r>
      <w:r>
        <w:rPr>
          <w:i/>
          <w:iCs/>
        </w:rPr>
        <w:t xml:space="preserve">p</w:t>
      </w:r>
      <w:r>
        <w:t xml:space="preserve"> = 0,833). Ipoteza I2 se confirmă parțial.</w:t>
      </w:r>
    </w:p>
    <w:p>
      <w:pPr>
        <w:keepNext/>
        <w:spacing w:after="60" w:before="160" w:line="240"/>
        <w:ind w:firstLine="0"/>
        <w:jc w:val="center"/>
      </w:pPr>
      <w:r>
        <w:drawing>
          <wp:inline distT="0" distB="0" distL="0" distR="0">
            <wp:extent cx="5124450" cy="2562225"/>
            <wp:effectExtent t="0" r="0" b="0" l="0"/>
            <wp:docPr id="5" name="Figura 5" descr="Evoluția scorului funcțional mediu, pe protocoale" title="Evoluția scorului funcțional mediu, pe protoco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Evoluția scorului funcțional mediu, pe protocoale</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4933950" cy="2647950"/>
            <wp:effectExtent t="0" r="0" b="0" l="0"/>
            <wp:docPr id="6" name="Figura 6" descr="Câștigul la scorul funcțional, pe protocoale" title="Câștigul la scorul funcțional, pe protoco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33950" cy="26479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Câștigul la scorul funcțional, pe protocoale</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4.4. Factori asociați cu ameliorarea</w:t>
      </w:r>
    </w:p>
    <w:p>
      <w:pPr>
        <w:keepNext/>
        <w:spacing w:after="80" w:before="200" w:line="260"/>
        <w:ind w:firstLine="0"/>
        <w:jc w:val="left"/>
      </w:pPr>
      <w:r>
        <w:rPr>
          <w:b/>
          <w:bCs/>
          <w:sz w:val="22"/>
          <w:szCs w:val="22"/>
        </w:rPr>
        <w:t xml:space="preserve">Tabelul 7.</w:t>
      </w:r>
      <w:r>
        <w:rPr>
          <w:sz w:val="22"/>
          <w:szCs w:val="22"/>
        </w:rPr>
        <w:t xml:space="preserve"> Corelațiile dintre vârstă și ameliorarea parametrilor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1</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3</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4</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 Vârsta (ani)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 Câștig flexie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 Câștig forță (kg)</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4. Reducere VAS</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−0,21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5. Câștig scor funcțional</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0,36*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0,06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bl>
    <w:p>
      <w:pPr>
        <w:keepNext/>
        <w:spacing w:after="0" w:before="60" w:line="240"/>
        <w:ind w:firstLine="0"/>
        <w:jc w:val="left"/>
      </w:pPr>
      <w:r>
        <w:rPr>
          <w:i/>
          <w:iCs/>
          <w:sz w:val="18"/>
          <w:szCs w:val="18"/>
        </w:rPr>
        <w:t xml:space="preserve">Notă.</w:t>
      </w:r>
      <w:r>
        <w:rPr>
          <w:sz w:val="18"/>
          <w:szCs w:val="18"/>
        </w:rPr>
        <w:t xml:space="preserve"> N = 30. * p &lt; 0,05; ** p &lt; 0,01.</w:t>
      </w:r>
    </w:p>
    <w:p>
      <w:pPr>
        <w:spacing w:after="200" w:before="40" w:line="240"/>
        <w:ind w:firstLine="0"/>
        <w:jc w:val="left"/>
      </w:pPr>
      <w:r>
        <w:rPr>
          <w:i/>
          <w:iCs/>
          <w:color w:val="7A8191"/>
          <w:sz w:val="18"/>
          <w:szCs w:val="18"/>
        </w:rPr>
        <w:t xml:space="preserve">Sursa: Prelucrare proprie pe baza datelor simulate.</w:t>
      </w:r>
    </w:p>
    <w:p>
      <w:r>
        <w:t xml:space="preserve">Câștigul de flexie scade ușor odată cu vârsta, </w:t>
      </w:r>
      <w:r>
        <w:rPr>
          <w:i/>
          <w:iCs/>
        </w:rPr>
        <w:t xml:space="preserve">r</w:t>
      </w:r>
      <w:r>
        <w:t xml:space="preserve"> = −0,36, </w:t>
      </w:r>
      <w:r>
        <w:rPr>
          <w:i/>
          <w:iCs/>
        </w:rPr>
        <w:t xml:space="preserve">p</w:t>
      </w:r>
      <w:r>
        <w:t xml:space="preserve"> = 0,048 (Figura 7), iar ameliorarea funcției este asociată cu câștigul de flexie (</w:t>
      </w:r>
      <w:r>
        <w:rPr>
          <w:i/>
          <w:iCs/>
        </w:rPr>
        <w:t xml:space="preserve">r</w:t>
      </w:r>
      <w:r>
        <w:t xml:space="preserve"> = 0,48, </w:t>
      </w:r>
      <w:r>
        <w:rPr>
          <w:i/>
          <w:iCs/>
        </w:rPr>
        <w:t xml:space="preserve">p</w:t>
      </w:r>
      <w:r>
        <w:t xml:space="preserve"> = 0,008) și cu cel de forță (</w:t>
      </w:r>
      <w:r>
        <w:rPr>
          <w:i/>
          <w:iCs/>
        </w:rPr>
        <w:t xml:space="preserve">r</w:t>
      </w:r>
      <w:r>
        <w:t xml:space="preserve"> = 0,36, </w:t>
      </w:r>
      <w:r>
        <w:rPr>
          <w:i/>
          <w:iCs/>
        </w:rPr>
        <w:t xml:space="preserve">p</w:t>
      </w:r>
      <w:r>
        <w:t xml:space="preserve"> = 0,049).</w:t>
      </w:r>
    </w:p>
    <w:p>
      <w:pPr>
        <w:keepNext/>
        <w:spacing w:after="60" w:before="160" w:line="240"/>
        <w:ind w:firstLine="0"/>
        <w:jc w:val="center"/>
      </w:pPr>
      <w:r>
        <w:drawing>
          <wp:inline distT="0" distB="0" distL="0" distR="0">
            <wp:extent cx="5124450" cy="2657475"/>
            <wp:effectExtent t="0" r="0" b="0" l="0"/>
            <wp:docPr id="7" name="Figura 7" descr="Relația dintre vârstă și câștigul de flexie" title="Relația dintre vârstă și câștigul de flex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6574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vârstă și câștigul de flexie</w:t>
      </w:r>
    </w:p>
    <w:p>
      <w:pPr>
        <w:spacing w:after="200" w:line="240"/>
        <w:ind w:firstLine="0"/>
        <w:jc w:val="center"/>
      </w:pPr>
      <w:r>
        <w:rPr>
          <w:i/>
          <w:iCs/>
          <w:color w:val="7A8191"/>
          <w:sz w:val="18"/>
          <w:szCs w:val="18"/>
        </w:rPr>
        <w:t xml:space="preserve">Sursa: Prelucrare proprie.</w:t>
      </w:r>
    </w:p>
    <w:p>
      <w:pPr>
        <w:pStyle w:val="Heading2"/>
        <w:keepNext/>
      </w:pPr>
      <w:r>
        <w:t xml:space="preserve">4.5. Interpretarea autorului și propuneri</w:t>
      </w:r>
    </w:p>
    <w:p>
      <w:r>
        <w:t xml:space="preserve">Rezultatele sugerează că exercițiile suplimentare de forță și echilibru grăbesc recuperarea mobilității, a forței și a funcției, fără să crească durerea. Pacienții nu au fost repartizați aleatoriu, iar lotul este mic, așa că diferențele trebuie confirmate pe un studiu mai amplu.</w:t>
      </w:r>
    </w:p>
    <w:p>
      <w:r>
        <w:t xml:space="preserve">Pentru practică, propunem ca trecerea de la o fază la alta să se facă după criterii funcționale, nu doar după numărul de săptămâni (Tabelul 8). La pacienții mai în vârstă, care câștigă mai greu flexie, merită urmărită mobilitatea mai des.</w:t>
      </w:r>
    </w:p>
    <w:p>
      <w:pPr>
        <w:keepNext/>
        <w:spacing w:after="80" w:before="200" w:line="260"/>
        <w:ind w:firstLine="0"/>
        <w:jc w:val="left"/>
      </w:pPr>
      <w:r>
        <w:rPr>
          <w:b/>
          <w:bCs/>
          <w:sz w:val="22"/>
          <w:szCs w:val="22"/>
        </w:rPr>
        <w:t xml:space="preserve">Tabelul 8.</w:t>
      </w:r>
      <w:r>
        <w:rPr>
          <w:sz w:val="22"/>
          <w:szCs w:val="22"/>
        </w:rPr>
        <w:t xml:space="preserve"> Criterii orientative de trecere de la o fază la alta, propuse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51"/>
        <w:gridCol w:w="6719"/>
      </w:tblGrid>
      <w:tr>
        <w:trPr>
          <w:tblHeader/>
        </w:trPr>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Trecerea</w:t>
            </w:r>
          </w:p>
        </w:tc>
        <w:tc>
          <w:tcPr>
            <w:tcW w:type="dxa" w:w="67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Criterii funcționale</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Faza I → faza II</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Mers independent cu cadru sau baston; contracție activă a cvadricepsului; durere la mers VAS ≤ 5</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Faza II → faza III</w:t>
            </w:r>
          </w:p>
        </w:tc>
        <w:tc>
          <w:tcPr>
            <w:tcW w:type="dxa" w:w="67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Flexie de cel puțin 90° și extensie aproape completă; ridicare de pe scaun fără ajutorul mâinilor; VAS ≤ 3</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Faza III → faza IV</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Mers fără mijloc ajutător; urcat și coborât scări cu pas alternativ; scor funcțional peste valoarea inițială cu cel puțin 15 puncte</w:t>
            </w:r>
          </w:p>
        </w:tc>
      </w:tr>
    </w:tbl>
    <w:p>
      <w:pPr>
        <w:keepNext/>
        <w:spacing w:after="0" w:before="60" w:line="240"/>
        <w:ind w:firstLine="0"/>
        <w:jc w:val="left"/>
      </w:pPr>
      <w:r>
        <w:rPr>
          <w:i/>
          <w:iCs/>
          <w:sz w:val="18"/>
          <w:szCs w:val="18"/>
        </w:rPr>
        <w:t xml:space="preserve">Notă.</w:t>
      </w:r>
      <w:r>
        <w:rPr>
          <w:sz w:val="18"/>
          <w:szCs w:val="18"/>
        </w:rPr>
        <w:t xml:space="preserve"> Criteriile sunt orientative și nu înlocuiesc decizia medicului ortoped și a echipei de recuperare.</w:t>
      </w:r>
    </w:p>
    <w:p>
      <w:pPr>
        <w:spacing w:after="200" w:before="40" w:line="240"/>
        <w:ind w:firstLine="0"/>
        <w:jc w:val="left"/>
      </w:pPr>
      <w:r>
        <w:rPr>
          <w:i/>
          <w:iCs/>
          <w:color w:val="7A8191"/>
          <w:sz w:val="18"/>
          <w:szCs w:val="18"/>
        </w:rPr>
        <w:t xml:space="preserve">Sursa: Propunere proprie, pe baza rezultatelor cercetării.</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Ambele protocoale au ameliorat mobilitatea, forța, durerea și funcția genunchiului.</w:t>
      </w:r>
    </w:p>
    <w:p>
      <w:pPr>
        <w:tabs>
          <w:tab w:val="left" w:pos="709"/>
        </w:tabs>
        <w:spacing w:after="60"/>
        <w:ind w:left="709" w:hanging="357" w:firstLine="0"/>
        <w:jc w:val="left"/>
      </w:pPr>
      <w:r>
        <w:t xml:space="preserve">•	</w:t>
      </w:r>
      <w:r>
        <w:t xml:space="preserve">Protocolul extins a adus câștiguri mai mari de flexie, forță și scor funcțional (I1 confirmată, I2 confirmată parțial).</w:t>
      </w:r>
    </w:p>
    <w:p>
      <w:pPr>
        <w:tabs>
          <w:tab w:val="left" w:pos="709"/>
        </w:tabs>
        <w:spacing w:after="60"/>
        <w:ind w:left="709" w:hanging="357" w:firstLine="0"/>
        <w:jc w:val="left"/>
      </w:pPr>
      <w:r>
        <w:t xml:space="preserve">•	</w:t>
      </w:r>
      <w:r>
        <w:t xml:space="preserve">Durerea a scăzut la fel în cele două protocoale.</w:t>
      </w:r>
    </w:p>
    <w:p>
      <w:pPr>
        <w:tabs>
          <w:tab w:val="left" w:pos="709"/>
        </w:tabs>
        <w:spacing w:after="60"/>
        <w:ind w:left="709" w:hanging="357" w:firstLine="0"/>
        <w:jc w:val="left"/>
      </w:pPr>
      <w:r>
        <w:t xml:space="preserve">•	</w:t>
      </w:r>
      <w:r>
        <w:t xml:space="preserve">Criteriile funcționale de progresie pot face recuperarea mai individualizată.</w:t>
      </w:r>
    </w:p>
    <w:p>
      <w:r>
        <w:rPr>
          <w:b/>
          <w:bCs/>
        </w:rPr>
        <w:t xml:space="preserve">Recomandări:</w:t>
      </w:r>
      <w:r>
        <w:t xml:space="preserve"> includerea exercițiilor progresive de forță pentru cvadriceps din faza a II-a, cu acordul medicului, și continuarea programului la domiciliu după externare.</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Avram, L. (2022). </w:t>
      </w:r>
      <w:r>
        <w:rPr>
          <w:i/>
          <w:iCs/>
        </w:rPr>
        <w:t xml:space="preserve">Evaluarea funcțională în kinetoterapie</w:t>
      </w:r>
      <w:r>
        <w:t xml:space="preserve">. Editura Exemplu.</w:t>
      </w:r>
    </w:p>
    <w:p>
      <w:pPr>
        <w:spacing w:after="100" w:line="300"/>
        <w:ind w:left="709" w:hanging="709" w:firstLine="0"/>
        <w:jc w:val="left"/>
      </w:pPr>
      <w:r>
        <w:t xml:space="preserve">Dinu, C., &amp; Avram, L. (2021). Recuperarea precoce după artroplastia totală de genunchi. </w:t>
      </w:r>
      <w:r>
        <w:rPr>
          <w:i/>
          <w:iCs/>
        </w:rPr>
        <w:t xml:space="preserve">Revista de Recuperare Medicală, 11</w:t>
      </w:r>
      <w:r>
        <w:t xml:space="preserve">(2), 40–52.</w:t>
      </w:r>
    </w:p>
    <w:p>
      <w:pPr>
        <w:spacing w:after="100" w:line="300"/>
        <w:ind w:left="709" w:hanging="709" w:firstLine="0"/>
        <w:jc w:val="left"/>
      </w:pPr>
      <w:r>
        <w:t xml:space="preserve">Munteanu, S. (2020). </w:t>
      </w:r>
      <w:r>
        <w:rPr>
          <w:i/>
          <w:iCs/>
        </w:rPr>
        <w:t xml:space="preserve">Biomecanica aparatului locomotor</w:t>
      </w:r>
      <w:r>
        <w:t xml:space="preserve">. Editura Exemplu.</w:t>
      </w:r>
    </w:p>
    <w:p>
      <w:pPr>
        <w:spacing w:after="100" w:line="300"/>
        <w:ind w:left="709" w:hanging="709" w:firstLine="0"/>
        <w:jc w:val="left"/>
      </w:pPr>
      <w:r>
        <w:t xml:space="preserve">Petrescu, A., Lazăr, M., &amp; Ionescu, D. (2023). Exercițiile de forță în recuperarea după protezarea genunchiului: o sinteză. </w:t>
      </w:r>
      <w:r>
        <w:rPr>
          <w:i/>
          <w:iCs/>
        </w:rPr>
        <w:t xml:space="preserve">Studii de Kinetoterapie, 7</w:t>
      </w:r>
      <w:r>
        <w:t xml:space="preserve">(1), 18–31.</w:t>
      </w:r>
    </w:p>
    <w:p>
      <w:pPr>
        <w:spacing w:after="100" w:line="300"/>
        <w:ind w:left="709" w:hanging="709" w:firstLine="0"/>
        <w:jc w:val="left"/>
      </w:pPr>
      <w:r>
        <w:t xml:space="preserve">Sima, R. (2019). </w:t>
      </w:r>
      <w:r>
        <w:rPr>
          <w:i/>
          <w:iCs/>
        </w:rPr>
        <w:t xml:space="preserve">Kinetoterapia în afecțiunile ortopedice</w:t>
      </w:r>
      <w:r>
        <w:t xml:space="preserve">. Editura Exemplu.</w:t>
      </w:r>
    </w:p>
    <w:p>
      <w:pPr>
        <w:pStyle w:val="Heading1"/>
        <w:pageBreakBefore/>
      </w:pPr>
      <w:commentRangeStart w:id="15"/>
      <w:r>
        <w:t xml:space="preserve">Anexa 1. Exerciții din faza a II-a</w:t>
      </w:r>
      <w:commentRangeEnd w:id="15"/>
      <w:r>
        <w:commentReference w:id="15"/>
      </w:r>
    </w:p>
    <w:p>
      <w:pPr>
        <w:keepNext/>
        <w:spacing w:after="80" w:before="200" w:line="260"/>
        <w:ind w:firstLine="0"/>
        <w:jc w:val="left"/>
      </w:pPr>
      <w:r>
        <w:rPr>
          <w:b/>
          <w:bCs/>
          <w:sz w:val="22"/>
          <w:szCs w:val="22"/>
        </w:rPr>
        <w:t xml:space="preserve">Tabelul 9.</w:t>
      </w:r>
      <w:r>
        <w:rPr>
          <w:sz w:val="22"/>
          <w:szCs w:val="22"/>
        </w:rPr>
        <w:t xml:space="preserve"> Exerciții din faza a II-a: descriere și dozare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81"/>
        <w:gridCol w:w="1933"/>
        <w:gridCol w:w="3866"/>
        <w:gridCol w:w="1189"/>
      </w:tblGrid>
      <w:tr>
        <w:trPr>
          <w:tblHeader/>
        </w:trPr>
        <w:tc>
          <w:tcPr>
            <w:tcW w:type="dxa" w:w="208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Exercițiul</w:t>
            </w:r>
          </w:p>
        </w:tc>
        <w:tc>
          <w:tcPr>
            <w:tcW w:type="dxa" w:w="19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Poziția inițială</w:t>
            </w:r>
          </w:p>
        </w:tc>
        <w:tc>
          <w:tcPr>
            <w:tcW w:type="dxa" w:w="38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Execuția</w:t>
            </w:r>
          </w:p>
        </w:tc>
        <w:tc>
          <w:tcPr>
            <w:tcW w:type="dxa" w:w="1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Dozare</w:t>
            </w:r>
          </w:p>
        </w:tc>
      </w:tr>
      <w:tr>
        <w:trPr>
          <w:cantSplit/>
        </w:trPr>
        <w:tc>
          <w:tcPr>
            <w:tcW w:type="dxa" w:w="20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Contracții izometrice ale cvadricepsului</w:t>
            </w:r>
          </w:p>
        </w:tc>
        <w:tc>
          <w:tcPr>
            <w:tcW w:type="dxa" w:w="19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Decubit dorsal, genunchiul întins</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Apăsarea spațiului popliteu în planul patului, menținere 5 s</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 10</w:t>
            </w:r>
          </w:p>
        </w:tc>
      </w:tr>
      <w:tr>
        <w:trPr>
          <w:cantSplit/>
        </w:trPr>
        <w:tc>
          <w:tcPr>
            <w:tcW w:type="dxa" w:w="20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Alunecarea călcâiului</w:t>
            </w:r>
          </w:p>
        </w:tc>
        <w:tc>
          <w:tcPr>
            <w:tcW w:type="dxa" w:w="19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Decubit dorsal</w:t>
            </w:r>
          </w:p>
        </w:tc>
        <w:tc>
          <w:tcPr>
            <w:tcW w:type="dxa" w:w="38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Flexia genunchiului prin alunecarea călcâiului spre fesă, până la limita durerii suportabile</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 10</w:t>
            </w:r>
          </w:p>
        </w:tc>
      </w:tr>
      <w:tr>
        <w:trPr>
          <w:cantSplit/>
        </w:trPr>
        <w:tc>
          <w:tcPr>
            <w:tcW w:type="dxa" w:w="20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Ridicarea membrului inferior întins</w:t>
            </w:r>
          </w:p>
        </w:tc>
        <w:tc>
          <w:tcPr>
            <w:tcW w:type="dxa" w:w="19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Decubit dorsal, membrul controlateral flectat</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Ridicarea membrului operat la aproximativ 30 cm, cu genunchiul întins, menținere 3 s</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 10</w:t>
            </w:r>
          </w:p>
        </w:tc>
      </w:tr>
      <w:tr>
        <w:trPr>
          <w:cantSplit/>
        </w:trPr>
        <w:tc>
          <w:tcPr>
            <w:tcW w:type="dxa" w:w="20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Extensia genunchiului din așezat</w:t>
            </w:r>
          </w:p>
        </w:tc>
        <w:tc>
          <w:tcPr>
            <w:tcW w:type="dxa" w:w="19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Așezat pe scaun</w:t>
            </w:r>
          </w:p>
        </w:tc>
        <w:tc>
          <w:tcPr>
            <w:tcW w:type="dxa" w:w="38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Extensia completă a genunchiului și revenire lentă; ulterior cu bandă elastică</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 12</w:t>
            </w:r>
          </w:p>
        </w:tc>
      </w:tr>
      <w:tr>
        <w:trPr>
          <w:cantSplit/>
        </w:trPr>
        <w:tc>
          <w:tcPr>
            <w:tcW w:type="dxa" w:w="20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Ridicări de pe scaun</w:t>
            </w:r>
          </w:p>
        </w:tc>
        <w:tc>
          <w:tcPr>
            <w:tcW w:type="dxa" w:w="19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Așezat, brațele încrucișate</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Ridicarea în ortostatism și revenirea controlată pe scaun</w:t>
            </w:r>
          </w:p>
        </w:tc>
        <w:tc>
          <w:tcPr>
            <w:tcW w:type="dxa" w:w="1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 8</w:t>
            </w:r>
          </w:p>
        </w:tc>
      </w:tr>
      <w:tr>
        <w:trPr>
          <w:cantSplit/>
        </w:trPr>
        <w:tc>
          <w:tcPr>
            <w:tcW w:type="dxa" w:w="20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Pedalare</w:t>
            </w:r>
          </w:p>
        </w:tc>
        <w:tc>
          <w:tcPr>
            <w:tcW w:type="dxa" w:w="19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Bicicletă ergometrică, șaua reglată înalt</w:t>
            </w:r>
          </w:p>
        </w:tc>
        <w:tc>
          <w:tcPr>
            <w:tcW w:type="dxa" w:w="38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Pedalare fără rezistență, apoi cu rezistență mică</w:t>
            </w:r>
          </w:p>
        </w:tc>
        <w:tc>
          <w:tcPr>
            <w:tcW w:type="dxa" w:w="1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10 min</w:t>
            </w:r>
          </w:p>
        </w:tc>
      </w:tr>
    </w:tbl>
    <w:p>
      <w:pPr>
        <w:spacing w:after="200" w:before="40" w:line="240"/>
        <w:ind w:firstLine="0"/>
        <w:jc w:val="left"/>
      </w:pPr>
      <w:r>
        <w:rPr>
          <w:i/>
          <w:iCs/>
          <w:color w:val="7A8191"/>
          <w:sz w:val="18"/>
          <w:szCs w:val="18"/>
        </w:rPr>
        <w:t xml:space="preserve">Sursa: Exemplu didactic; nu este o prescripție pentru un pacient real.</w:t>
      </w:r>
    </w:p>
    <w:p>
      <w:r>
        <w:t xml:space="preserve">Exercițiile se execută lent, fără durere intensă; dacă durerea crește după ședință, dozarea se reduce și se anunță medicul.</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frecvente în lucrările de Kinetoterapie.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Pacienta Elena X. din cartierul Fabric a facut exercitii pentru genunchi si s-a recuperat foarte bine, acum merge normal. Am facut miscari pasive si active de mai multe ori pe zi. Kinetoterapia este cea mai importanta in recuperare.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Pacienta P.M. (cod P07), 68 de ani, a urmat protocolul extins timp de 8 săptămâni. Flexia activă a genunchiului operat a crescut de la 78° la 105°, iar scorul funcțional de la 44 la 71 de puncte. Programul a cuprins exerciții active și active-asistate, 3 serii × 10 repetări, 5 ședințe pe săptămână (Tabelul 3), ca parte a recuperării complexe după artroplastie (Dinu și Avram, 2021).</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Numele pacientei a fost înlocuit cu inițiale și cod: datele clinice se anonimizează.</w:t>
      </w:r>
    </w:p>
    <w:p>
      <w:pPr>
        <w:tabs>
          <w:tab w:val="left" w:pos="709"/>
        </w:tabs>
        <w:spacing w:after="60"/>
        <w:ind w:left="709" w:hanging="357" w:firstLine="0"/>
        <w:jc w:val="left"/>
      </w:pPr>
      <w:r>
        <w:t xml:space="preserve">2.	</w:t>
      </w:r>
      <w:r>
        <w:t xml:space="preserve">„S-a recuperat foarte bine” a devenit un rezultat măsurat: grade de flexie și scor funcțional, inițial și final.</w:t>
      </w:r>
    </w:p>
    <w:p>
      <w:pPr>
        <w:tabs>
          <w:tab w:val="left" w:pos="709"/>
        </w:tabs>
        <w:spacing w:after="60"/>
        <w:ind w:left="709" w:hanging="357" w:firstLine="0"/>
        <w:jc w:val="left"/>
      </w:pPr>
      <w:r>
        <w:t xml:space="preserve">3.	</w:t>
      </w:r>
      <w:r>
        <w:t xml:space="preserve">Dozarea vagă („de mai multe ori pe zi”) a devenit precisă: serii, repetări, frecvență.</w:t>
      </w:r>
    </w:p>
    <w:p>
      <w:pPr>
        <w:tabs>
          <w:tab w:val="left" w:pos="709"/>
        </w:tabs>
        <w:spacing w:after="60"/>
        <w:ind w:left="709" w:hanging="357" w:firstLine="0"/>
        <w:jc w:val="left"/>
      </w:pPr>
      <w:r>
        <w:t xml:space="preserve">4.	</w:t>
      </w:r>
      <w:r>
        <w:t xml:space="preserve">„Cea mai importantă” a devenit o afirmație moderată, cu sursă: kinetoterapia este parte a unei recuperări complexe.</w:t>
      </w:r>
    </w:p>
    <w:p>
      <w:pPr>
        <w:tabs>
          <w:tab w:val="left" w:pos="709"/>
        </w:tabs>
        <w:spacing w:after="60"/>
        <w:ind w:left="709" w:hanging="357" w:firstLine="0"/>
        <w:jc w:val="left"/>
      </w:pPr>
      <w:r>
        <w:t xml:space="preserve">5.	</w:t>
      </w:r>
      <w:r>
        <w:t xml:space="preserve">Am pus diacriticele (ș, ț cu virgulă), obligatorii în lucrare.</w:t>
      </w:r>
    </w:p>
    <w:p>
      <w:pPr>
        <w:spacing w:before="360"/>
        <w:ind w:firstLine="0"/>
        <w:jc w:val="left"/>
      </w:pPr>
      <w:r>
        <w:rPr>
          <w:b/>
          <w:bCs/>
        </w:rPr>
        <w:t xml:space="preserve">Vrei aceeași corectare pentru lucrarea ta? </w:t>
      </w:r>
      <w:hyperlink w:history="1" r:id="rId86hnefcsjd91d4gkpdfp-">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bjrwvzbwpactl6wsvmr3m">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jlwmhsdnj-abxr1jkyinv">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afecțiunea, impactul ei funcțional, rolul kinetoterapiei și obiectivele lucrării. La licență are 2–3 pagini; aici e prescurtată.</w:t>
      </w:r>
    </w:p>
    <w:p>
      <w:r>
        <w:rPr>
          <w:rFonts w:ascii="Arial" w:cs="Arial" w:eastAsia="Arial" w:hAnsi="Arial"/>
          <w:b/>
          <w:bCs/>
          <w:sz w:val="16"/>
          <w:szCs w:val="16"/>
        </w:rPr>
        <w:t xml:space="preserve">Ghid: </w:t>
      </w:r>
      <w:hyperlink w:history="1" r:id="rIdqq6jj5yladjoeavhs48yw">
        <w:r>
          <w:rPr>
            <w:rFonts w:ascii="Arial" w:cs="Arial" w:eastAsia="Arial" w:hAnsi="Arial"/>
            <w:color w:val="4B7A5E"/>
            <w:sz w:val="16"/>
            <w:szCs w:val="16"/>
            <w:u w:val="single"/>
          </w:rPr>
          <w:t xml:space="preserve">licenta-disertatie-romania.com/blog/introducere-lucrare-licenta/</w:t>
        </w:r>
      </w:hyperlink>
    </w:p>
  </w:comment>
  <w:comment w:id="5" w:initials="LR" w:author="Greșeală frecventă" w:date="2026-05-20T10:00:00.000Z">
    <w:p>
      <w:r>
        <w:rPr>
          <w:sz w:val="18"/>
          <w:szCs w:val="18"/>
        </w:rPr>
        <w:t xml:space="preserve">Datele pacienților din acest exemplu sunt simulate. Într-o lucrare reală ai nevoie de consimțământul informat scris al fiecărui pacient și de acordul unității medicale, iar pacienții apar doar cu cod sau inițiale.</w:t>
      </w:r>
    </w:p>
    <w:p>
      <w:r>
        <w:rPr>
          <w:rFonts w:ascii="Arial" w:cs="Arial" w:eastAsia="Arial" w:hAnsi="Arial"/>
          <w:b/>
          <w:bCs/>
          <w:sz w:val="16"/>
          <w:szCs w:val="16"/>
        </w:rPr>
        <w:t xml:space="preserve">Ghid: </w:t>
      </w:r>
      <w:hyperlink w:history="1" r:id="rIdmmdarenypre_pda69psbg">
        <w:r>
          <w:rPr>
            <w:rFonts w:ascii="Arial" w:cs="Arial" w:eastAsia="Arial" w:hAnsi="Arial"/>
            <w:color w:val="4B7A5E"/>
            <w:sz w:val="16"/>
            <w:szCs w:val="16"/>
            <w:u w:val="single"/>
          </w:rPr>
          <w:t xml:space="preserve">licenta-disertatie-romania.com/resurse/model-acord-informat/</w:t>
        </w:r>
      </w:hyperlink>
    </w:p>
  </w:comment>
  <w:comment w:id="6" w:initials="LR" w:author="Rolul secțiunii" w:date="2026-05-20T10:00:00.000Z">
    <w:p>
      <w:r>
        <w:rPr>
          <w:sz w:val="18"/>
          <w:szCs w:val="18"/>
        </w:rPr>
        <w:t xml:space="preserve">Capitolul teoretic descrie pe scurt anatomia și biomecanica genunchiului, intervenția chirurgicală și rolul kinetoterapiei. Fiecare informație are o sursă citată (Autor, an).</w:t>
      </w:r>
    </w:p>
    <w:p>
      <w:r>
        <w:rPr>
          <w:rFonts w:ascii="Arial" w:cs="Arial" w:eastAsia="Arial" w:hAnsi="Arial"/>
          <w:b/>
          <w:bCs/>
          <w:sz w:val="16"/>
          <w:szCs w:val="16"/>
        </w:rPr>
        <w:t xml:space="preserve">Ghid: </w:t>
      </w:r>
      <w:hyperlink w:history="1" r:id="rId5novoymbbxm_japisytoc">
        <w:r>
          <w:rPr>
            <w:rFonts w:ascii="Arial" w:cs="Arial" w:eastAsia="Arial" w:hAnsi="Arial"/>
            <w:color w:val="4B7A5E"/>
            <w:sz w:val="16"/>
            <w:szCs w:val="16"/>
            <w:u w:val="single"/>
          </w:rPr>
          <w:t xml:space="preserve">licenta-disertatie-romania.com/blog/structura-lucrare-licenta/</w:t>
        </w:r>
      </w:hyperlink>
    </w:p>
  </w:comment>
  <w:comment w:id="7" w:initials="LR" w:author="Rolul secțiunii" w:date="2026-05-20T10:00:00.000Z">
    <w:p>
      <w:r>
        <w:rPr>
          <w:sz w:val="18"/>
          <w:szCs w:val="18"/>
        </w:rPr>
        <w:t xml:space="preserve">Capitolul de evaluare spune ce ai măsurat, cu ce instrument și în ce condiții. Testele trebuie descrise atât de precis încât alt kinetoterapeut să le poată repeta.</w:t>
      </w:r>
    </w:p>
    <w:p>
      <w:r>
        <w:rPr>
          <w:rFonts w:ascii="Arial" w:cs="Arial" w:eastAsia="Arial" w:hAnsi="Arial"/>
          <w:b/>
          <w:bCs/>
          <w:sz w:val="16"/>
          <w:szCs w:val="16"/>
        </w:rPr>
        <w:t xml:space="preserve">Ghid: </w:t>
      </w:r>
      <w:hyperlink w:history="1" r:id="rIdgfidzupbe-_ipistdsu6u">
        <w:r>
          <w:rPr>
            <w:rFonts w:ascii="Arial" w:cs="Arial" w:eastAsia="Arial" w:hAnsi="Arial"/>
            <w:color w:val="4B7A5E"/>
            <w:sz w:val="16"/>
            <w:szCs w:val="16"/>
            <w:u w:val="single"/>
          </w:rPr>
          <w:t xml:space="preserve">licenta-disertatie-romania.com/blog/ipoteze-obiective-lucrare-licenta/</w:t>
        </w:r>
      </w:hyperlink>
    </w:p>
  </w:comment>
  <w:comment w:id="8" w:initials="LR" w:author="Sfat" w:date="2026-05-20T10:00:00.000Z">
    <w:p>
      <w:r>
        <w:rPr>
          <w:sz w:val="18"/>
          <w:szCs w:val="18"/>
        </w:rPr>
        <w:t xml:space="preserve">Goniometria se face de fiecare dată de același evaluator, din aceeași poziție și cu aceleași repere osoase. Notează în metodologie aceste condiții, nu doar valoarea în grade.</w:t>
      </w:r>
    </w:p>
  </w:comment>
  <w:comment w:id="9" w:initials="LR" w:author="Rolul secțiunii" w:date="2026-05-20T10:00:00.000Z">
    <w:p>
      <w:r>
        <w:rPr>
          <w:sz w:val="18"/>
          <w:szCs w:val="18"/>
        </w:rPr>
        <w:t xml:space="preserve">Programul kinetic face parte din contribuția ta: obiective pe faze, mijloace, dozare și progresie. Exercițiile se descriu precis (poziție, execuție, repetări), iar planșele complete merg în anexă.</w:t>
      </w:r>
    </w:p>
  </w:comment>
  <w:comment w:id="10" w:initials="LR" w:author="Greșeală frecventă" w:date="2026-05-20T10:00:00.000Z">
    <w:p>
      <w:r>
        <w:rPr>
          <w:sz w:val="18"/>
          <w:szCs w:val="18"/>
        </w:rPr>
        <w:t xml:space="preserve">Nu prezenta programul ca pe o rețetă valabilă pentru orice pacient. Progresia depinde de indicația chirurgului, de tipul protezei și de evoluția fiecărui pacient; spune clar că dozarea este orientativă.</w:t>
      </w:r>
    </w:p>
  </w:comment>
  <w:comment w:id="11" w:initials="LR" w:author="Rolul secțiunii" w:date="2026-05-20T10:00:00.000Z">
    <w:p>
      <w:r>
        <w:rPr>
          <w:sz w:val="18"/>
          <w:szCs w:val="18"/>
        </w:rPr>
        <w:t xml:space="preserve">Rezultatele compară evaluarea inițială cu cea finală și cele două protocoale între ele. Capitolul se încheie cu interpretarea ta și cu propunerile tale pentru practică.</w:t>
      </w:r>
    </w:p>
  </w:comment>
  <w:comment w:id="12" w:initials="LR" w:author="Sfat" w:date="2026-05-20T10:00:00.000Z">
    <w:p>
      <w:r>
        <w:rPr>
          <w:sz w:val="18"/>
          <w:szCs w:val="18"/>
        </w:rPr>
        <w:t xml:space="preserve">Raportează și rezultatele care nu diferă între grupe. Faptul că durerea a scăzut la fel în ambele protocoale este o informație utilă: exercițiile suplimentare nu au crescut durerea.</w:t>
      </w:r>
    </w:p>
  </w:comment>
  <w:comment w:id="13" w:initials="LR" w:author="Rolul secțiunii" w:date="2026-05-20T10:00:00.000Z">
    <w:p>
      <w:r>
        <w:rPr>
          <w:sz w:val="18"/>
          <w:szCs w:val="18"/>
        </w:rPr>
        <w:t xml:space="preserve">Concluziile răspund pe scurt la fiecare obiectiv: ce s-a ameliorat, cu ce protocol, ce recomanzi. Fără date noi.</w:t>
      </w:r>
    </w:p>
    <w:p>
      <w:r>
        <w:rPr>
          <w:rFonts w:ascii="Arial" w:cs="Arial" w:eastAsia="Arial" w:hAnsi="Arial"/>
          <w:b/>
          <w:bCs/>
          <w:sz w:val="16"/>
          <w:szCs w:val="16"/>
        </w:rPr>
        <w:t xml:space="preserve">Ghid: </w:t>
      </w:r>
      <w:hyperlink w:history="1" r:id="rIdfn3ikavknuyzahalqsqke">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Sursele de mai jos sunt generice, inventate pentru acest exemplu. În lucrarea ta citezi doar surse reale (manuale, ghiduri, articole), în stilul cerut de facultate; la Kinetoterapie se folosesc frecvent APA sau Vancouver.</w:t>
      </w:r>
    </w:p>
    <w:p>
      <w:r>
        <w:rPr>
          <w:rFonts w:ascii="Arial" w:cs="Arial" w:eastAsia="Arial" w:hAnsi="Arial"/>
          <w:b/>
          <w:bCs/>
          <w:sz w:val="16"/>
          <w:szCs w:val="16"/>
        </w:rPr>
        <w:t xml:space="preserve">Ghid: </w:t>
      </w:r>
      <w:hyperlink w:history="1" r:id="rId0sireo5j0oralprlszwkr">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Planșele cu exerciții, fișele de evaluare și consimțământul informat se pun în anexe. Fiecare anexă este menționată în text.</w:t>
      </w:r>
    </w:p>
    <w:p>
      <w:r>
        <w:rPr>
          <w:rFonts w:ascii="Arial" w:cs="Arial" w:eastAsia="Arial" w:hAnsi="Arial"/>
          <w:b/>
          <w:bCs/>
          <w:sz w:val="16"/>
          <w:szCs w:val="16"/>
        </w:rPr>
        <w:t xml:space="preserve">Ghid: </w:t>
      </w:r>
      <w:hyperlink w:history="1" r:id="rIdzwsajnbxou2eakn9pjjh6">
        <w:r>
          <w:rPr>
            <w:rFonts w:ascii="Arial" w:cs="Arial" w:eastAsia="Arial" w:hAnsi="Arial"/>
            <w:color w:val="4B7A5E"/>
            <w:sz w:val="16"/>
            <w:szCs w:val="16"/>
            <w:u w:val="single"/>
          </w:rPr>
          <w:t xml:space="preserve">licenta-disertatie-romania.com/blog/formatare-lucrare-licenta/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pynvj6pwf8w1nmltklz6g">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fzn8ur9llirdc1yo_xn-">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3jsahx-5_hpqv1lamj2a5">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bjrwvzbwpactl6wsvmr3m" Type="http://schemas.openxmlformats.org/officeDocument/2006/relationships/hyperlink" Target="https://licenta-disertatie-romania.com/blog/cuprins-lucrare-licenta/" TargetMode="External"/><Relationship Id="rIdjlwmhsdnj-abxr1jkyinv" Type="http://schemas.openxmlformats.org/officeDocument/2006/relationships/hyperlink" Target="https://licenta-disertatie-romania.com/blog/formatare-lucrare-licenta/" TargetMode="External"/><Relationship Id="rIdqq6jj5yladjoeavhs48yw" Type="http://schemas.openxmlformats.org/officeDocument/2006/relationships/hyperlink" Target="https://licenta-disertatie-romania.com/blog/introducere-lucrare-licenta/" TargetMode="External"/><Relationship Id="rIdmmdarenypre_pda69psbg" Type="http://schemas.openxmlformats.org/officeDocument/2006/relationships/hyperlink" Target="https://licenta-disertatie-romania.com/resurse/model-acord-informat/" TargetMode="External"/><Relationship Id="rId5novoymbbxm_japisytoc" Type="http://schemas.openxmlformats.org/officeDocument/2006/relationships/hyperlink" Target="https://licenta-disertatie-romania.com/blog/structura-lucrare-licenta/" TargetMode="External"/><Relationship Id="rIdgfidzupbe-_ipistdsu6u" Type="http://schemas.openxmlformats.org/officeDocument/2006/relationships/hyperlink" Target="https://licenta-disertatie-romania.com/blog/ipoteze-obiective-lucrare-licenta/" TargetMode="External"/><Relationship Id="rIdfn3ikavknuyzahalqsqke" Type="http://schemas.openxmlformats.org/officeDocument/2006/relationships/hyperlink" Target="https://licenta-disertatie-romania.com/blog/concluzii-lucrare-licenta/" TargetMode="External"/><Relationship Id="rId0sireo5j0oralprlszwkr" Type="http://schemas.openxmlformats.org/officeDocument/2006/relationships/hyperlink" Target="https://licenta-disertatie-romania.com/resurse/generator-citare-apa/" TargetMode="External"/><Relationship Id="rIdzwsajnbxou2eakn9pjjh6" Type="http://schemas.openxmlformats.org/officeDocument/2006/relationships/hyperlink" Target="https://licenta-disertatie-romania.com/blog/formatare-lucrare-licenta/" TargetMode="External"/><Relationship Id="rIdpynvj6pwf8w1nmltklz6g"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86hnefcsjd91d4gkpdfp-" Type="http://schemas.openxmlformats.org/officeDocument/2006/relationships/hyperlink" Target="https://licenta-disertatie-romania.com/contact/" TargetMode="External"/><Relationship Id="rId10" Type="http://schemas.openxmlformats.org/officeDocument/2006/relationships/image" Target="media/5247a092fe045315c0e7911b3eb12ead3a188a8b.png"/><Relationship Id="rId11" Type="http://schemas.openxmlformats.org/officeDocument/2006/relationships/image" Target="media/937cad7a6ea3a5cccd0eb8861065eb5cdf1ec9de.png"/><Relationship Id="rId12" Type="http://schemas.openxmlformats.org/officeDocument/2006/relationships/image" Target="media/7739102e993bbca3ac5d26e4c75e2ca2ce727c5b.png"/><Relationship Id="rId13" Type="http://schemas.openxmlformats.org/officeDocument/2006/relationships/image" Target="media/a0a0ca73411e581cb57a17632898a129cd18a3cc.png"/><Relationship Id="rId14" Type="http://schemas.openxmlformats.org/officeDocument/2006/relationships/image" Target="media/99396e0b41d0bcf000886912e52a8428a115a9c9.png"/><Relationship Id="rId15" Type="http://schemas.openxmlformats.org/officeDocument/2006/relationships/image" Target="media/db4083b65392032adb34e68a50c6cabaa1b95403.png"/><Relationship Id="rId16" Type="http://schemas.openxmlformats.org/officeDocument/2006/relationships/image" Target="media/9efdd7b603995c51e9c89b9ccf54ecbf8145d66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zn8ur9llirdc1yo_xn-"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3jsahx-5_hpqv1lamj2a5"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Kinetoterapie</dc:title>
  <dc:creator>Licenta RO</dc:creator>
  <dc:description>Exemplu fictiv cu date simulate: licenta-disertatie-romania.com</dc:description>
  <cp:lastModifiedBy>Un-named</cp:lastModifiedBy>
  <cp:revision>1</cp:revision>
  <dcterms:created xsi:type="dcterms:W3CDTF">2026-10-05T20:23:47.368Z</dcterms:created>
  <dcterms:modified xsi:type="dcterms:W3CDTF">2026-10-05T20:23:47.369Z</dcterms:modified>
</cp:coreProperties>
</file>

<file path=docProps/custom.xml><?xml version="1.0" encoding="utf-8"?>
<Properties xmlns="http://schemas.openxmlformats.org/officeDocument/2006/custom-properties" xmlns:vt="http://schemas.openxmlformats.org/officeDocument/2006/docPropsVTypes"/>
</file>