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FINANȚE, ASIGURĂRI, BĂNCI ȘI BURSE DE VALORI</w:t>
      </w:r>
    </w:p>
    <w:p>
      <w:pPr>
        <w:spacing w:after="0" w:before="60"/>
        <w:ind w:firstLine="0"/>
        <w:jc w:val="center"/>
      </w:pPr>
      <w:r>
        <w:rPr>
          <w:b w:val="false"/>
          <w:bCs w:val="false"/>
          <w:i w:val="false"/>
          <w:iCs w:val="false"/>
        </w:rPr>
        <w:t xml:space="preserve">Programul de studii: Finanțe și bănci</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Evaluarea riscului de credit într-o bancă comercială</w:t>
      </w:r>
    </w:p>
    <w:p>
      <w:pPr>
        <w:spacing w:after="0" w:before="120"/>
        <w:ind w:firstLine="0"/>
        <w:jc w:val="center"/>
      </w:pPr>
      <w:r>
        <w:rPr>
          <w:b w:val="false"/>
          <w:bCs w:val="false"/>
          <w:i/>
          <w:iCs/>
          <w:sz w:val="24"/>
          <w:szCs w:val="24"/>
        </w:rPr>
        <w:t xml:space="preserve">Studiu pe un portofoliu simulat de credite de consum și propunerea unei grile de scoring</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Mihaela Petrescu (nume fictiv)</w:t>
      </w:r>
    </w:p>
    <w:p>
      <w:pPr>
        <w:spacing w:before="300"/>
        <w:ind w:firstLine="0"/>
        <w:jc w:val="right"/>
      </w:pPr>
      <w:r>
        <w:rPr>
          <w:b/>
          <w:bCs/>
        </w:rPr>
        <w:t xml:space="preserve">Absolvent:</w:t>
      </w:r>
    </w:p>
    <w:p>
      <w:pPr>
        <w:ind w:firstLine="0"/>
        <w:jc w:val="right"/>
      </w:pPr>
      <w:r>
        <w:t xml:space="preserve">Radu Iordache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Radu Iordache</w:t>
      </w:r>
      <w:r>
        <w:t xml:space="preserve">, absolvent(ă) al(a) programului de studii Finanțe și bănci, declar pe propria răspundere că lucrarea de licență cu titlul „Evaluarea riscului de credit într-o bancă comercială”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Riscul de credit: concepte și metode de evaluare</w:t>
      </w:r>
      <w:r>
        <w:t xml:space="preserve">	7</w:t>
      </w:r>
    </w:p>
    <w:p>
      <w:pPr>
        <w:tabs>
          <w:tab w:val="right" w:pos="9026" w:leader="dot"/>
        </w:tabs>
        <w:spacing w:after="40" w:line="300"/>
        <w:ind w:left="400" w:firstLine="0"/>
        <w:jc w:val="left"/>
      </w:pPr>
      <w:r>
        <w:rPr>
          <w:b w:val="false"/>
          <w:bCs w:val="false"/>
        </w:rPr>
        <w:t xml:space="preserve">1.1. Definirea riscului de credit și a nerambursării</w:t>
      </w:r>
      <w:r>
        <w:t xml:space="preserve">	7</w:t>
      </w:r>
    </w:p>
    <w:p>
      <w:pPr>
        <w:tabs>
          <w:tab w:val="right" w:pos="9026" w:leader="dot"/>
        </w:tabs>
        <w:spacing w:after="40" w:line="300"/>
        <w:ind w:left="400" w:firstLine="0"/>
        <w:jc w:val="left"/>
      </w:pPr>
      <w:r>
        <w:rPr>
          <w:b w:val="false"/>
          <w:bCs w:val="false"/>
        </w:rPr>
        <w:t xml:space="preserve">1.2. Metode de evaluare a solicitanților</w:t>
      </w:r>
      <w:r>
        <w:t xml:space="preserve">	7</w:t>
      </w:r>
    </w:p>
    <w:p>
      <w:pPr>
        <w:tabs>
          <w:tab w:val="right" w:pos="9026" w:leader="dot"/>
        </w:tabs>
        <w:spacing w:after="40" w:line="300"/>
        <w:ind w:left="0" w:firstLine="0"/>
        <w:jc w:val="left"/>
      </w:pPr>
      <w:r>
        <w:rPr>
          <w:b/>
          <w:bCs/>
        </w:rPr>
        <w:t xml:space="preserve">Capitolul 2. Metodologia cercetării</w:t>
      </w:r>
      <w:r>
        <w:t xml:space="preserve">	8</w:t>
      </w:r>
    </w:p>
    <w:p>
      <w:pPr>
        <w:tabs>
          <w:tab w:val="right" w:pos="9026" w:leader="dot"/>
        </w:tabs>
        <w:spacing w:after="40" w:line="300"/>
        <w:ind w:left="0" w:firstLine="0"/>
        <w:jc w:val="left"/>
      </w:pPr>
      <w:r>
        <w:rPr>
          <w:b/>
          <w:bCs/>
        </w:rPr>
        <w:t xml:space="preserve">Capitolul 3. Analiza riscului de credit și propunerea unei grile de scoring</w:t>
      </w:r>
      <w:r>
        <w:t xml:space="preserve">	9</w:t>
      </w:r>
    </w:p>
    <w:p>
      <w:pPr>
        <w:tabs>
          <w:tab w:val="right" w:pos="9026" w:leader="dot"/>
        </w:tabs>
        <w:spacing w:after="40" w:line="300"/>
        <w:ind w:left="400" w:firstLine="0"/>
        <w:jc w:val="left"/>
      </w:pPr>
      <w:r>
        <w:rPr>
          <w:b w:val="false"/>
          <w:bCs w:val="false"/>
        </w:rPr>
        <w:t xml:space="preserve">3.1. Profilul solicitanților</w:t>
      </w:r>
      <w:r>
        <w:t xml:space="preserve">	9</w:t>
      </w:r>
    </w:p>
    <w:p>
      <w:pPr>
        <w:tabs>
          <w:tab w:val="right" w:pos="9026" w:leader="dot"/>
        </w:tabs>
        <w:spacing w:after="40" w:line="300"/>
        <w:ind w:left="400" w:firstLine="0"/>
        <w:jc w:val="left"/>
      </w:pPr>
      <w:r>
        <w:rPr>
          <w:b w:val="false"/>
          <w:bCs w:val="false"/>
        </w:rPr>
        <w:t xml:space="preserve">3.2. Istoricul de credit și gradul de îndatorare</w:t>
      </w:r>
      <w:r>
        <w:t xml:space="preserve">	9</w:t>
      </w:r>
    </w:p>
    <w:p>
      <w:pPr>
        <w:tabs>
          <w:tab w:val="right" w:pos="9026" w:leader="dot"/>
        </w:tabs>
        <w:spacing w:after="40" w:line="300"/>
        <w:ind w:left="400" w:firstLine="0"/>
        <w:jc w:val="left"/>
      </w:pPr>
      <w:r>
        <w:rPr>
          <w:b w:val="false"/>
          <w:bCs w:val="false"/>
        </w:rPr>
        <w:t xml:space="preserve">3.3. Diferențe între creditele neperformante și cele rambursate</w:t>
      </w:r>
      <w:r>
        <w:t xml:space="preserve">	10</w:t>
      </w:r>
    </w:p>
    <w:p>
      <w:pPr>
        <w:tabs>
          <w:tab w:val="right" w:pos="9026" w:leader="dot"/>
        </w:tabs>
        <w:spacing w:after="40" w:line="300"/>
        <w:ind w:left="400" w:firstLine="0"/>
        <w:jc w:val="left"/>
      </w:pPr>
      <w:r>
        <w:rPr>
          <w:b w:val="false"/>
          <w:bCs w:val="false"/>
        </w:rPr>
        <w:t xml:space="preserve">3.4. Grila de scoring propusă</w:t>
      </w:r>
      <w:r>
        <w:t xml:space="preserve">	11</w:t>
      </w:r>
    </w:p>
    <w:p>
      <w:pPr>
        <w:tabs>
          <w:tab w:val="right" w:pos="9026" w:leader="dot"/>
        </w:tabs>
        <w:spacing w:after="40" w:line="300"/>
        <w:ind w:left="400" w:firstLine="0"/>
        <w:jc w:val="left"/>
      </w:pPr>
      <w:r>
        <w:rPr>
          <w:b w:val="false"/>
          <w:bCs w:val="false"/>
        </w:rPr>
        <w:t xml:space="preserve">3.5. Alegerea pragului de acceptare</w:t>
      </w:r>
      <w:r>
        <w:t xml:space="preserve">	12</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Fișa de calcul a scorului pentru un solicitant (exemplu)</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Componentele pierderii așteptate din riscul de credit</w:t>
      </w:r>
      <w:r>
        <w:t xml:space="preserve">	7</w:t>
      </w:r>
    </w:p>
    <w:p>
      <w:pPr>
        <w:tabs>
          <w:tab w:val="right" w:pos="9026" w:leader="dot"/>
        </w:tabs>
        <w:spacing w:after="40" w:line="300"/>
        <w:ind w:left="0" w:firstLine="0"/>
        <w:jc w:val="left"/>
      </w:pPr>
      <w:r>
        <w:rPr>
          <w:b w:val="false"/>
          <w:bCs w:val="false"/>
        </w:rPr>
        <w:t xml:space="preserve">Figura 2. Etapele procesului de acordare a unui credit de consum</w:t>
      </w:r>
      <w:r>
        <w:t xml:space="preserve">	8</w:t>
      </w:r>
    </w:p>
    <w:p>
      <w:pPr>
        <w:tabs>
          <w:tab w:val="right" w:pos="9026" w:leader="dot"/>
        </w:tabs>
        <w:spacing w:after="40" w:line="300"/>
        <w:ind w:left="0" w:firstLine="0"/>
        <w:jc w:val="left"/>
      </w:pPr>
      <w:r>
        <w:rPr>
          <w:b w:val="false"/>
          <w:bCs w:val="false"/>
        </w:rPr>
        <w:t xml:space="preserve">Figura 3. Rata creditelor neperformante după istoricul de credit (%)</w:t>
      </w:r>
      <w:r>
        <w:t xml:space="preserve">	9</w:t>
      </w:r>
    </w:p>
    <w:p>
      <w:pPr>
        <w:tabs>
          <w:tab w:val="right" w:pos="9026" w:leader="dot"/>
        </w:tabs>
        <w:spacing w:after="40" w:line="300"/>
        <w:ind w:left="0" w:firstLine="0"/>
        <w:jc w:val="left"/>
      </w:pPr>
      <w:r>
        <w:rPr>
          <w:b w:val="false"/>
          <w:bCs w:val="false"/>
        </w:rPr>
        <w:t xml:space="preserve">Figura 4. Rata creditelor neperformante după clasa gradului de îndatorare (%)</w:t>
      </w:r>
      <w:r>
        <w:t xml:space="preserve">	10</w:t>
      </w:r>
    </w:p>
    <w:p>
      <w:pPr>
        <w:tabs>
          <w:tab w:val="right" w:pos="9026" w:leader="dot"/>
        </w:tabs>
        <w:spacing w:after="40" w:line="300"/>
        <w:ind w:left="0" w:firstLine="0"/>
        <w:jc w:val="left"/>
      </w:pPr>
      <w:r>
        <w:rPr>
          <w:b w:val="false"/>
          <w:bCs w:val="false"/>
        </w:rPr>
        <w:t xml:space="preserve">Figura 5. Gradul de îndatorare la creditele rambursate și la cele neperformante</w:t>
      </w:r>
      <w:r>
        <w:t xml:space="preserve">	11</w:t>
      </w:r>
    </w:p>
    <w:p>
      <w:pPr>
        <w:tabs>
          <w:tab w:val="right" w:pos="9026" w:leader="dot"/>
        </w:tabs>
        <w:spacing w:after="40" w:line="300"/>
        <w:ind w:left="0" w:firstLine="0"/>
        <w:jc w:val="left"/>
      </w:pPr>
      <w:r>
        <w:rPr>
          <w:b w:val="false"/>
          <w:bCs w:val="false"/>
        </w:rPr>
        <w:t xml:space="preserve">Figura 6. Rata creditelor neperformante pe clase de scor (%)</w:t>
      </w:r>
      <w:r>
        <w:t xml:space="preserve">	12</w:t>
      </w:r>
    </w:p>
    <w:p>
      <w:pPr>
        <w:tabs>
          <w:tab w:val="right" w:pos="9026" w:leader="dot"/>
        </w:tabs>
        <w:spacing w:after="40" w:line="300"/>
        <w:ind w:left="0" w:firstLine="0"/>
        <w:jc w:val="left"/>
      </w:pPr>
      <w:r>
        <w:rPr>
          <w:b w:val="false"/>
          <w:bCs w:val="false"/>
        </w:rPr>
        <w:t xml:space="preserve">Figura 7. Compromisul dintre rata de aprobare și creditele neperformante evitate</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Variabilele bazei de date (portofoliu simulat)</w:t>
      </w:r>
      <w:r>
        <w:t xml:space="preserve">	8</w:t>
      </w:r>
    </w:p>
    <w:p>
      <w:pPr>
        <w:tabs>
          <w:tab w:val="right" w:pos="9026" w:leader="dot"/>
        </w:tabs>
        <w:spacing w:after="40" w:line="300"/>
        <w:ind w:left="0" w:firstLine="0"/>
        <w:jc w:val="left"/>
      </w:pPr>
      <w:r>
        <w:rPr>
          <w:b w:val="false"/>
          <w:bCs w:val="false"/>
        </w:rPr>
        <w:t xml:space="preserve">Tabelul 2. Criteriile clasice de analiză a solicitanților de credit („cei 5 C”)</w:t>
      </w:r>
      <w:r>
        <w:t xml:space="preserve">	8</w:t>
      </w:r>
    </w:p>
    <w:p>
      <w:pPr>
        <w:tabs>
          <w:tab w:val="right" w:pos="9026" w:leader="dot"/>
        </w:tabs>
        <w:spacing w:after="40" w:line="300"/>
        <w:ind w:left="0" w:firstLine="0"/>
        <w:jc w:val="left"/>
      </w:pPr>
      <w:r>
        <w:rPr>
          <w:b w:val="false"/>
          <w:bCs w:val="false"/>
        </w:rPr>
        <w:t xml:space="preserve">Tabelul 3. Statistici descriptive pentru solicitanții de credit (N = 400)</w:t>
      </w:r>
      <w:r>
        <w:t xml:space="preserve">	9</w:t>
      </w:r>
    </w:p>
    <w:p>
      <w:pPr>
        <w:tabs>
          <w:tab w:val="right" w:pos="9026" w:leader="dot"/>
        </w:tabs>
        <w:spacing w:after="40" w:line="300"/>
        <w:ind w:left="0" w:firstLine="0"/>
        <w:jc w:val="left"/>
      </w:pPr>
      <w:r>
        <w:rPr>
          <w:b w:val="false"/>
          <w:bCs w:val="false"/>
        </w:rPr>
        <w:t xml:space="preserve">Tabelul 4. Statutul creditului în funcție de istoricul de credit</w:t>
      </w:r>
      <w:r>
        <w:t xml:space="preserve">	9</w:t>
      </w:r>
    </w:p>
    <w:p>
      <w:pPr>
        <w:tabs>
          <w:tab w:val="right" w:pos="9026" w:leader="dot"/>
        </w:tabs>
        <w:spacing w:after="40" w:line="300"/>
        <w:ind w:left="0" w:firstLine="0"/>
        <w:jc w:val="left"/>
      </w:pPr>
      <w:r>
        <w:rPr>
          <w:b w:val="false"/>
          <w:bCs w:val="false"/>
        </w:rPr>
        <w:t xml:space="preserve">Tabelul 5. Statutul creditului în funcție de clasa gradului de îndatorare (DTI)</w:t>
      </w:r>
      <w:r>
        <w:t xml:space="preserve">	10</w:t>
      </w:r>
    </w:p>
    <w:p>
      <w:pPr>
        <w:tabs>
          <w:tab w:val="right" w:pos="9026" w:leader="dot"/>
        </w:tabs>
        <w:spacing w:after="40" w:line="300"/>
        <w:ind w:left="0" w:firstLine="0"/>
        <w:jc w:val="left"/>
      </w:pPr>
      <w:r>
        <w:rPr>
          <w:b w:val="false"/>
          <w:bCs w:val="false"/>
        </w:rPr>
        <w:t xml:space="preserve">Tabelul 6. Comparația dintre creditele neperformante și cele rambursate (testul t)</w:t>
      </w:r>
      <w:r>
        <w:t xml:space="preserve">	10</w:t>
      </w:r>
    </w:p>
    <w:p>
      <w:pPr>
        <w:tabs>
          <w:tab w:val="right" w:pos="9026" w:leader="dot"/>
        </w:tabs>
        <w:spacing w:after="40" w:line="300"/>
        <w:ind w:left="0" w:firstLine="0"/>
        <w:jc w:val="left"/>
      </w:pPr>
      <w:r>
        <w:rPr>
          <w:b w:val="false"/>
          <w:bCs w:val="false"/>
        </w:rPr>
        <w:t xml:space="preserve">Tabelul 7. Grila de scoring propusă de autor (maximum 100 de puncte)</w:t>
      </w:r>
      <w:r>
        <w:t xml:space="preserve">	11</w:t>
      </w:r>
    </w:p>
    <w:p>
      <w:pPr>
        <w:tabs>
          <w:tab w:val="right" w:pos="9026" w:leader="dot"/>
        </w:tabs>
        <w:spacing w:after="40" w:line="300"/>
        <w:ind w:left="0" w:firstLine="0"/>
        <w:jc w:val="left"/>
      </w:pPr>
      <w:r>
        <w:rPr>
          <w:b w:val="false"/>
          <w:bCs w:val="false"/>
        </w:rPr>
        <w:t xml:space="preserve">Tabelul 8. Efectul pragului de acceptare asupra portofoliului (400 de solicitanți, 32 de credite neperformante)</w:t>
      </w:r>
      <w:r>
        <w:t xml:space="preserve">	12</w:t>
      </w:r>
    </w:p>
    <w:p>
      <w:pPr>
        <w:pStyle w:val="Heading1"/>
        <w:pageBreakBefore/>
      </w:pPr>
      <w:commentRangeStart w:id="3"/>
      <w:r>
        <w:t xml:space="preserve">Rezumat</w:t>
      </w:r>
      <w:commentRangeEnd w:id="3"/>
      <w:r>
        <w:commentReference w:id="3"/>
      </w:r>
    </w:p>
    <w:p>
      <w:r>
        <w:t xml:space="preserve">Lucrarea analizează riscul de credit într-un portofoliu simulat de 400 de credite de consum acordate de o bancă comercială fictivă. După prezentarea conceptelor de nerambursare, probabilitate de nerambursare și pierdere așteptată, am comparat creditele neperformante cu cele rambursate folosind tabele de contingență, testul χ² și testul t. Rezultatele arată că istoricul de credit și gradul de îndatorare sunt factorii cei mai puternic asociați cu nerambursarea, urmați de venit, în timp ce vârsta nu diferențiază debitorii. Pe această bază am propus o grilă de scoring cu trei criterii și am evaluat efectul mai multor praguri de acceptare. Un prag de 50 de puncte păstrează o rată de aprobare de 83% și reduce rata creditelor neperformante la creditele aprobate de la 8,0% la 3,6%.</w:t>
      </w:r>
    </w:p>
    <w:p>
      <w:pPr>
        <w:spacing w:after="400"/>
        <w:ind w:firstLine="0"/>
        <w:jc w:val="left"/>
      </w:pPr>
      <w:r>
        <w:rPr>
          <w:b/>
          <w:bCs/>
        </w:rPr>
        <w:t xml:space="preserve">Cuvinte-cheie:</w:t>
      </w:r>
      <w:r>
        <w:t xml:space="preserve"> risc de credit, credite neperformante, scoring, grad de îndatorare, pierdere așteptată</w:t>
      </w:r>
    </w:p>
    <w:p>
      <w:pPr>
        <w:spacing w:after="200"/>
        <w:ind w:firstLine="0"/>
        <w:jc w:val="center"/>
      </w:pPr>
      <w:r>
        <w:rPr>
          <w:b/>
          <w:bCs/>
          <w:color w:val="16233F"/>
          <w:sz w:val="26"/>
          <w:szCs w:val="26"/>
        </w:rPr>
        <w:t xml:space="preserve">Abstract</w:t>
      </w:r>
    </w:p>
    <w:p>
      <w:r>
        <w:t xml:space="preserve">This thesis analyses credit risk in a simulated portfolio of 400 consumer loans granted by a fictitious commercial bank. After presenting the concepts of default, probability of default and expected loss, it compares non-performing and repaid loans using contingency tables, the chi-square test and the t-test. The results show that credit history and the debt-to-income ratio are the factors most strongly associated with default, followed by income, while age does not differentiate borrowers. On this basis, the thesis proposes a three-criteria scoring grid and evaluates the effect of several acceptance thresholds. A threshold of 50 points keeps an approval rate of 83% and reduces the non-performing loan rate among approved loans from 8.0% to 3.6%.</w:t>
      </w:r>
    </w:p>
    <w:p>
      <w:pPr>
        <w:ind w:firstLine="0"/>
        <w:jc w:val="left"/>
      </w:pPr>
      <w:r>
        <w:rPr>
          <w:b/>
          <w:bCs/>
        </w:rPr>
        <w:t xml:space="preserve">Keywords:</w:t>
      </w:r>
      <w:r>
        <w:t xml:space="preserve"> credit risk, non-performing loans, credit scoring, debt-to-income ratio, expected loss</w:t>
      </w:r>
    </w:p>
    <w:p>
      <w:pPr>
        <w:pStyle w:val="Heading1"/>
        <w:pageBreakBefore/>
      </w:pPr>
      <w:commentRangeStart w:id="4"/>
      <w:r>
        <w:t xml:space="preserve">Introducere</w:t>
      </w:r>
      <w:commentRangeEnd w:id="4"/>
      <w:r>
        <w:commentReference w:id="4"/>
      </w:r>
    </w:p>
    <w:p>
      <w:r>
        <w:t xml:space="preserve">Creditarea este principala sursă de venit a unei bănci comerciale, dar și principala sursă de risc. Un credit nerambursat înseamnă pierderea dobânzii și, adesea, a unei părți din sumă; de aceea băncile evaluează fiecare solicitant înainte de a aproba creditul.</w:t>
      </w:r>
    </w:p>
    <w:p>
      <w:r>
        <w:t xml:space="preserve">Lucrarea analizează un portofoliu de 400 de credite de consum acordate de Banca X (bancă fictivă). </w:t>
      </w:r>
      <w:r>
        <w:rPr>
          <w:b/>
          <w:bCs/>
        </w:rPr>
        <w:t xml:space="preserve">Datele sunt simulate</w:t>
      </w:r>
      <w:r>
        <w:t xml:space="preserve">, dar respectă relațiile descrise în literatura de specialitate. Obiectivele sunt:</w:t>
      </w:r>
    </w:p>
    <w:p>
      <w:pPr>
        <w:tabs>
          <w:tab w:val="left" w:pos="709"/>
        </w:tabs>
        <w:spacing w:after="60"/>
        <w:ind w:left="709" w:hanging="357" w:firstLine="0"/>
        <w:jc w:val="left"/>
      </w:pPr>
      <w:r>
        <w:t xml:space="preserve">1.	</w:t>
      </w:r>
      <w:r>
        <w:t xml:space="preserve">prezentarea conceptelor și a indicatorilor riscului de credit;</w:t>
      </w:r>
    </w:p>
    <w:p>
      <w:pPr>
        <w:tabs>
          <w:tab w:val="left" w:pos="709"/>
        </w:tabs>
        <w:spacing w:after="60"/>
        <w:ind w:left="709" w:hanging="357" w:firstLine="0"/>
        <w:jc w:val="left"/>
      </w:pPr>
      <w:r>
        <w:t xml:space="preserve">2.	</w:t>
      </w:r>
      <w:r>
        <w:t xml:space="preserve">identificarea caracteristicilor solicitanților asociate cu nerambursarea;</w:t>
      </w:r>
    </w:p>
    <w:p>
      <w:pPr>
        <w:tabs>
          <w:tab w:val="left" w:pos="709"/>
        </w:tabs>
        <w:spacing w:after="60"/>
        <w:ind w:left="709" w:hanging="357" w:firstLine="0"/>
        <w:jc w:val="left"/>
      </w:pPr>
      <w:commentRangeStart w:id="5"/>
      <w:r>
        <w:t xml:space="preserve">3.	</w:t>
      </w:r>
      <w:r>
        <w:t xml:space="preserve">construirea unei grile de scoring simple și evaluarea efectului diferitelor praguri de acceptare.</w:t>
      </w:r>
      <w:commentRangeEnd w:id="5"/>
      <w:r>
        <w:commentReference w:id="5"/>
      </w:r>
    </w:p>
    <w:p>
      <w:pPr>
        <w:pStyle w:val="Heading1"/>
        <w:pageBreakBefore/>
      </w:pPr>
      <w:commentRangeStart w:id="6"/>
      <w:r>
        <w:t xml:space="preserve">Capitolul 1. Riscul de credit: concepte și metode de evaluare</w:t>
      </w:r>
      <w:commentRangeEnd w:id="6"/>
      <w:r>
        <w:commentReference w:id="6"/>
      </w:r>
    </w:p>
    <w:p>
      <w:pPr>
        <w:pStyle w:val="Heading2"/>
        <w:keepNext/>
      </w:pPr>
      <w:r>
        <w:t xml:space="preserve">1.1. Definirea riscului de credit și a nerambursării</w:t>
      </w:r>
    </w:p>
    <w:p>
      <w:r>
        <w:t xml:space="preserve">Riscul de credit este riscul ca debitorul să nu își îndeplinească obligațiile de plată la scadență. În reglementarea prudențială europeană, nerambursarea (</w:t>
      </w:r>
      <w:r>
        <w:rPr>
          <w:i/>
          <w:iCs/>
        </w:rPr>
        <w:t xml:space="preserve">default</w:t>
      </w:r>
      <w:r>
        <w:t xml:space="preserve">) apare, printre altele, atunci când debitorul are o întârziere de peste 90 de zile la o obligație semnificativă (Regulamentul (UE) nr. 575/2013, art. 178). Același prag este folosit în lucrare pentru a defini creditele neperformante.</w:t>
      </w:r>
    </w:p>
    <w:p>
      <w:r>
        <w:t xml:space="preserve">Pierderea așteptată dintr-un credit depinde de trei componente (Figura 1; BCBS, 2006):</w:t>
      </w:r>
    </w:p>
    <w:p>
      <w:pPr>
        <w:spacing w:after="160" w:before="120"/>
        <w:ind w:firstLine="0"/>
        <w:jc w:val="center"/>
      </w:pPr>
      <w:r>
        <w:rPr>
          <w:i/>
          <w:iCs/>
        </w:rPr>
        <w:t xml:space="preserve">EL = PD × LGD × EAD        (1.1)</w:t>
      </w:r>
    </w:p>
    <w:p>
      <w:pPr>
        <w:keepNext/>
        <w:spacing w:after="60" w:before="160" w:line="240"/>
        <w:ind w:firstLine="0"/>
        <w:jc w:val="center"/>
      </w:pPr>
      <w:r>
        <w:drawing>
          <wp:inline distT="0" distB="0" distL="0" distR="0">
            <wp:extent cx="5762625" cy="2562225"/>
            <wp:effectExtent t="0" r="0" b="0" l="0"/>
            <wp:docPr id="1" name="Figura 1" descr="Componentele pierderii așteptate din riscul de credit" title="Componentele pierderii așteptate din riscul de cr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56222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Componentele pierderii așteptate din riscul de credit</w:t>
      </w:r>
    </w:p>
    <w:p>
      <w:pPr>
        <w:spacing w:after="200" w:line="240"/>
        <w:ind w:firstLine="0"/>
        <w:jc w:val="center"/>
      </w:pPr>
      <w:r>
        <w:rPr>
          <w:i/>
          <w:iCs/>
          <w:color w:val="7A8191"/>
          <w:sz w:val="18"/>
          <w:szCs w:val="18"/>
        </w:rPr>
        <w:t xml:space="preserve">Sursa: Prelucrare proprie.</w:t>
      </w:r>
    </w:p>
    <w:p>
      <w:r>
        <w:t xml:space="preserve">La nivel de portofoliu, calitatea creditelor se urmărește prin rata creditelor neperformante:</w:t>
      </w:r>
    </w:p>
    <w:p>
      <w:pPr>
        <w:spacing w:after="160" w:before="120"/>
        <w:ind w:firstLine="0"/>
        <w:jc w:val="center"/>
      </w:pPr>
      <w:commentRangeStart w:id="7"/>
      <w:r>
        <w:rPr>
          <w:i/>
          <w:iCs/>
        </w:rPr>
        <w:t xml:space="preserve">Rata NPL = Credite neperformante / Total credite × 100        (1.2)</w:t>
      </w:r>
      <w:commentRangeEnd w:id="7"/>
      <w:r>
        <w:commentReference w:id="7"/>
      </w:r>
    </w:p>
    <w:p>
      <w:pPr>
        <w:pStyle w:val="Heading2"/>
        <w:keepNext/>
      </w:pPr>
      <w:r>
        <w:t xml:space="preserve">1.2. Metode de evaluare a solicitanților</w:t>
      </w:r>
    </w:p>
    <w:p>
      <w:r>
        <w:t xml:space="preserve">Analiza tradițională urmărește „cei 5 C” ai creditului: caracterul, capacitatea de plată, capitalul, garanțiile și condițiile (Tabelul 2, Capitolul 2). Băncile folosesc astăzi modele de scoring: fiecare caracteristică a solicitantului primește un număr de puncte, iar creditul se aprobă dacă scorul total depășește un prag (Georgescu, 2020).</w:t>
      </w:r>
    </w:p>
    <w:p>
      <w:pPr>
        <w:pStyle w:val="Heading1"/>
        <w:pageBreakBefore/>
      </w:pPr>
      <w:commentRangeStart w:id="8"/>
      <w:r>
        <w:t xml:space="preserve">Capitolul 2. Metodologia cercetării</w:t>
      </w:r>
      <w:commentRangeEnd w:id="8"/>
      <w:r>
        <w:commentReference w:id="8"/>
      </w:r>
    </w:p>
    <w:p>
      <w:r>
        <w:t xml:space="preserve">Portofoliul cuprinde 400 de credite de consum negarantate, acordate de Banca X și urmărite timp de 12 luni de la acordare. Dintre acestea, 32 (8,0%) au devenit neperformante. Variabilele (Tabelul 1) acoperă două dintre criteriile clasice din Tabelul 2: caracterul și capacitatea de plată. Legătura variabilelor categoriale cu statutul creditului a fost testată cu testul χ², iar diferențele de medie, cu testul t pentru eșantioane independente (Excel și SPSS). Etapele procesului de creditare sunt prezentate în Figura 2.</w:t>
      </w:r>
    </w:p>
    <w:p>
      <w:pPr>
        <w:keepNext/>
        <w:spacing w:after="80" w:before="200" w:line="260"/>
        <w:ind w:firstLine="0"/>
        <w:jc w:val="left"/>
      </w:pPr>
      <w:r>
        <w:rPr>
          <w:b/>
          <w:bCs/>
          <w:sz w:val="22"/>
          <w:szCs w:val="22"/>
        </w:rPr>
        <w:t xml:space="preserve">Tabelul 1.</w:t>
      </w:r>
      <w:r>
        <w:rPr>
          <w:sz w:val="22"/>
          <w:szCs w:val="22"/>
        </w:rPr>
        <w:t xml:space="preserve"> Variabilele bazei de date (portofoliu simulat)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02"/>
        <w:gridCol w:w="5004"/>
        <w:gridCol w:w="1563"/>
      </w:tblGrid>
      <w:tr>
        <w:trPr>
          <w:tblHeader/>
        </w:trPr>
        <w:tc>
          <w:tcPr>
            <w:tcW w:type="dxa" w:w="250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500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Descriere</w:t>
            </w:r>
          </w:p>
        </w:tc>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Venit net lunar (lei)</w:t>
            </w:r>
          </w:p>
        </w:tc>
        <w:tc>
          <w:tcPr>
            <w:tcW w:type="dxa" w:w="500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Venitul net declarat și verificat la acordare</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Numerică</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Grad de îndatorare (%)</w:t>
            </w:r>
          </w:p>
        </w:tc>
        <w:tc>
          <w:tcPr>
            <w:tcW w:type="dxa" w:w="500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 rate lunare / venit net lunar × 100 (DTI)</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Numerică</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Vârsta (ani)</w:t>
            </w:r>
          </w:p>
        </w:tc>
        <w:tc>
          <w:tcPr>
            <w:tcW w:type="dxa" w:w="500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Vârsta la data acordării</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Numerică</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Istoric de credit</w:t>
            </w:r>
          </w:p>
        </w:tc>
        <w:tc>
          <w:tcPr>
            <w:tcW w:type="dxa" w:w="500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Fără restanțe / restanțe minore (sub 30 de zile) / restanțe majore (peste 30 de zile)</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Categorială</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Statutul creditului</w:t>
            </w:r>
          </w:p>
        </w:tc>
        <w:tc>
          <w:tcPr>
            <w:tcW w:type="dxa" w:w="500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Neperformant: întârziere de peste 90 de zile în primele 12 luni; altfel, rambursat</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Categorială</w:t>
            </w:r>
          </w:p>
        </w:tc>
      </w:tr>
    </w:tbl>
    <w:p>
      <w:pPr>
        <w:spacing w:after="200" w:before="40" w:line="240"/>
        <w:ind w:firstLine="0"/>
        <w:jc w:val="left"/>
      </w:pPr>
      <w:r>
        <w:rPr>
          <w:i/>
          <w:iCs/>
          <w:color w:val="7A8191"/>
          <w:sz w:val="18"/>
          <w:szCs w:val="18"/>
        </w:rPr>
        <w:t xml:space="preserve">Sursa: Date simulate pentru exemplu; Banca X este o bancă fictivă.</w:t>
      </w:r>
    </w:p>
    <w:p>
      <w:pPr>
        <w:keepNext/>
        <w:spacing w:after="80" w:before="200" w:line="260"/>
        <w:ind w:firstLine="0"/>
        <w:jc w:val="left"/>
      </w:pPr>
      <w:r>
        <w:rPr>
          <w:b/>
          <w:bCs/>
          <w:sz w:val="22"/>
          <w:szCs w:val="22"/>
        </w:rPr>
        <w:t xml:space="preserve">Tabelul 2.</w:t>
      </w:r>
      <w:r>
        <w:rPr>
          <w:sz w:val="22"/>
          <w:szCs w:val="22"/>
        </w:rPr>
        <w:t xml:space="preserve"> Criteriile clasice de analiză a solicitanților de credit („cei 5 C”)</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76"/>
        <w:gridCol w:w="4379"/>
        <w:gridCol w:w="2815"/>
      </w:tblGrid>
      <w:tr>
        <w:trPr>
          <w:tblHeader/>
        </w:trPr>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43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analizează banca</w:t>
            </w:r>
          </w:p>
        </w:tc>
        <w:tc>
          <w:tcPr>
            <w:tcW w:type="dxa" w:w="28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 din studiu</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Caracter</w:t>
            </w:r>
          </w:p>
        </w:tc>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Seriozitatea debitorului, comportamentul de plată din trecut</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Istoricul de credit</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Capacitate</w:t>
            </w:r>
          </w:p>
        </w:tc>
        <w:tc>
          <w:tcPr>
            <w:tcW w:type="dxa" w:w="4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Capacitatea de a plăti ratele din venituri</w:t>
            </w:r>
          </w:p>
        </w:tc>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Venitul net, gradul de îndatorare</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Capital</w:t>
            </w:r>
          </w:p>
        </w:tc>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Economiile și averea proprie a solicitantului</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Neinclus (date indisponibile)</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Garanții (Collateral)</w:t>
            </w:r>
          </w:p>
        </w:tc>
        <w:tc>
          <w:tcPr>
            <w:tcW w:type="dxa" w:w="4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Bunurile care pot acoperi pierderea</w:t>
            </w:r>
          </w:p>
        </w:tc>
        <w:tc>
          <w:tcPr>
            <w:tcW w:type="dxa" w:w="28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Neinclus (credite negarantate)</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Condiții</w:t>
            </w:r>
          </w:p>
        </w:tc>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Contextul economic și scopul creditului</w:t>
            </w:r>
          </w:p>
        </w:tc>
        <w:tc>
          <w:tcPr>
            <w:tcW w:type="dxa" w:w="28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Constant (un singur produs)</w:t>
            </w:r>
          </w:p>
        </w:tc>
      </w:tr>
    </w:tbl>
    <w:p>
      <w:pPr>
        <w:spacing w:after="200" w:before="40" w:line="240"/>
        <w:ind w:firstLine="0"/>
        <w:jc w:val="left"/>
      </w:pPr>
      <w:r>
        <w:rPr>
          <w:i/>
          <w:iCs/>
          <w:color w:val="7A8191"/>
          <w:sz w:val="18"/>
          <w:szCs w:val="18"/>
        </w:rPr>
        <w:t xml:space="preserve">Sursa: Sinteză proprie după manualele de management bancar (Georgescu, 2020).</w:t>
      </w:r>
    </w:p>
    <w:p>
      <w:pPr>
        <w:keepNext/>
        <w:spacing w:after="60" w:before="160" w:line="240"/>
        <w:ind w:firstLine="0"/>
        <w:jc w:val="center"/>
      </w:pPr>
      <w:r>
        <w:drawing>
          <wp:inline distT="0" distB="0" distL="0" distR="0">
            <wp:extent cx="5762625" cy="1733550"/>
            <wp:effectExtent t="0" r="0" b="0" l="0"/>
            <wp:docPr id="2" name="Figura 2" descr="Etapele procesului de acordare a unui credit de consum" title="Etapele procesului de acordare a unui credit de con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17335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procesului de acordare a unui credit de consum</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1"/>
        <w:pageBreakBefore/>
      </w:pPr>
      <w:commentRangeStart w:id="10"/>
      <w:r>
        <w:t xml:space="preserve">Capitolul 3. Analiza riscului de credit și propunerea unei grile de scoring</w:t>
      </w:r>
      <w:commentRangeEnd w:id="10"/>
      <w:r>
        <w:commentReference w:id="10"/>
      </w:r>
    </w:p>
    <w:p>
      <w:pPr>
        <w:pStyle w:val="Heading2"/>
        <w:keepNext/>
      </w:pPr>
      <w:r>
        <w:t xml:space="preserve">3.1. Profilul solicitanților</w:t>
      </w:r>
    </w:p>
    <w:p>
      <w:pPr>
        <w:keepNext/>
        <w:spacing w:after="80" w:before="200" w:line="260"/>
        <w:ind w:firstLine="0"/>
        <w:jc w:val="left"/>
      </w:pPr>
      <w:r>
        <w:rPr>
          <w:b/>
          <w:bCs/>
          <w:sz w:val="22"/>
          <w:szCs w:val="22"/>
        </w:rPr>
        <w:t xml:space="preserve">Tabelul 3.</w:t>
      </w:r>
      <w:r>
        <w:rPr>
          <w:sz w:val="22"/>
          <w:szCs w:val="22"/>
        </w:rPr>
        <w:t xml:space="preserve"> Statistici descriptive pentru solicitanții de credit (N = 400)</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Venit net lunar (lei)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5854,99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2196,02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13.433</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Grad de îndatorare (%)</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400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33,00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10,01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7,40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61,50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Vârsta (ani)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39,10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9,56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65</w:t>
            </w:r>
          </w:p>
        </w:tc>
      </w:tr>
    </w:tbl>
    <w:p>
      <w:pPr>
        <w:spacing w:after="200" w:before="40" w:line="240"/>
        <w:ind w:firstLine="0"/>
        <w:jc w:val="left"/>
      </w:pPr>
      <w:r>
        <w:rPr>
          <w:i/>
          <w:iCs/>
          <w:color w:val="7A8191"/>
          <w:sz w:val="18"/>
          <w:szCs w:val="18"/>
        </w:rPr>
        <w:t xml:space="preserve">Sursa: Prelucrare proprie pe baza datelor simulate.</w:t>
      </w:r>
    </w:p>
    <w:p>
      <w:r>
        <w:t xml:space="preserve">Solicitanții au un venit net mediu de 5854,99 lei și un grad de îndatorare mediu de 33,00% (Tabelul 3).</w:t>
      </w:r>
    </w:p>
    <w:p>
      <w:pPr>
        <w:pStyle w:val="Heading2"/>
        <w:keepNext/>
      </w:pPr>
      <w:r>
        <w:t xml:space="preserve">3.2. Istoricul de credit și gradul de îndatorare</w:t>
      </w:r>
    </w:p>
    <w:p>
      <w:pPr>
        <w:keepNext/>
        <w:spacing w:after="80" w:before="200" w:line="260"/>
        <w:ind w:firstLine="0"/>
        <w:jc w:val="left"/>
      </w:pPr>
      <w:r>
        <w:rPr>
          <w:b/>
          <w:bCs/>
          <w:sz w:val="22"/>
          <w:szCs w:val="22"/>
        </w:rPr>
        <w:t xml:space="preserve">Tabelul 4.</w:t>
      </w:r>
      <w:r>
        <w:rPr>
          <w:sz w:val="22"/>
          <w:szCs w:val="22"/>
        </w:rPr>
        <w:t xml:space="preserve"> Statutul creditului în funcție de istoricul de credit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Istoric de credit / Statutul creditului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Rambursat</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Neperformant</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Fără restanțe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254 (95,1%)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 (4,9%)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267</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Restanțe minore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85 (93,4%)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 (6,6%)</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91</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Restanțe majore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29 (69,0%)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 (31,0%)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42</w:t>
            </w:r>
          </w:p>
        </w:tc>
      </w:tr>
    </w:tbl>
    <w:p>
      <w:pPr>
        <w:keepNext/>
        <w:spacing w:after="0" w:before="60" w:line="240"/>
        <w:ind w:firstLine="0"/>
        <w:jc w:val="left"/>
      </w:pPr>
      <w:r>
        <w:rPr>
          <w:i/>
          <w:iCs/>
          <w:sz w:val="18"/>
          <w:szCs w:val="18"/>
        </w:rPr>
        <w:t xml:space="preserve">Notă.</w:t>
      </w:r>
      <w:r>
        <w:rPr>
          <w:sz w:val="18"/>
          <w:szCs w:val="18"/>
        </w:rPr>
        <w:t xml:space="preserve"> χ²(2, N = 400) = 33,86, p &lt; 0,001, V Cramer = 0,29</w:t>
      </w:r>
    </w:p>
    <w:p>
      <w:pPr>
        <w:spacing w:after="200" w:before="40" w:line="240"/>
        <w:ind w:firstLine="0"/>
        <w:jc w:val="left"/>
      </w:pPr>
      <w:r>
        <w:rPr>
          <w:i/>
          <w:iCs/>
          <w:color w:val="7A8191"/>
          <w:sz w:val="18"/>
          <w:szCs w:val="18"/>
        </w:rPr>
        <w:t xml:space="preserve">Sursa: Prelucrare proprie pe baza datelor simulate.</w:t>
      </w:r>
    </w:p>
    <w:p>
      <w:r>
        <w:t xml:space="preserve">Rata creditelor neperformante este de aproximativ 5–7% la solicitanții fără restanțe sau cu restanțe minore, dar ajunge la 31,0% la cei cu restanțe majore. Legătura este semnificativă statistic, χ²(2, N = 400) = 33,86, </w:t>
      </w:r>
      <w:r>
        <w:rPr>
          <w:i/>
          <w:iCs/>
        </w:rPr>
        <w:t xml:space="preserve">p</w:t>
      </w:r>
      <w:r>
        <w:t xml:space="preserve"> &lt; 0,001, V Cramer = 0,29 (Tabelul 4, Figura 3).</w:t>
      </w:r>
    </w:p>
    <w:p>
      <w:pPr>
        <w:keepNext/>
        <w:spacing w:after="60" w:before="160" w:line="240"/>
        <w:ind w:firstLine="0"/>
        <w:jc w:val="center"/>
      </w:pPr>
      <w:r>
        <w:drawing>
          <wp:inline distT="0" distB="0" distL="0" distR="0">
            <wp:extent cx="5305425" cy="2562225"/>
            <wp:effectExtent t="0" r="0" b="0" l="0"/>
            <wp:docPr id="3" name="Figura 3" descr="Rata creditelor neperformante după istoricul de credit (%)" title="Rata creditelor neperformante după istoricul de cred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05425" cy="25622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Rata creditelor neperformante după istoricul de credit (%)</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5.</w:t>
      </w:r>
      <w:r>
        <w:rPr>
          <w:sz w:val="22"/>
          <w:szCs w:val="22"/>
        </w:rPr>
        <w:t xml:space="preserve"> Statutul creditului în funcție de clasa gradului de îndatorare (DTI)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Clasa DTI / Statutul creditului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Rambursat</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Neperformant</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Sub 30%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147 (98,7%)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 (1,3%)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149</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30–40%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150 (93,2%)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 (6,8%)</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161</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Peste 40%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71 (78,9%)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 (21,1%)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90</w:t>
            </w:r>
          </w:p>
        </w:tc>
      </w:tr>
    </w:tbl>
    <w:p>
      <w:pPr>
        <w:keepNext/>
        <w:spacing w:after="0" w:before="60" w:line="240"/>
        <w:ind w:firstLine="0"/>
        <w:jc w:val="left"/>
      </w:pPr>
      <w:r>
        <w:rPr>
          <w:i/>
          <w:iCs/>
          <w:sz w:val="18"/>
          <w:szCs w:val="18"/>
        </w:rPr>
        <w:t xml:space="preserve">Notă.</w:t>
      </w:r>
      <w:r>
        <w:rPr>
          <w:sz w:val="18"/>
          <w:szCs w:val="18"/>
        </w:rPr>
        <w:t xml:space="preserve"> χ²(2, N = 400) = 30,29, p &lt; 0,001, V Cramer = 0,28</w:t>
      </w:r>
    </w:p>
    <w:p>
      <w:pPr>
        <w:spacing w:after="200" w:before="40" w:line="240"/>
        <w:ind w:firstLine="0"/>
        <w:jc w:val="left"/>
      </w:pPr>
      <w:r>
        <w:rPr>
          <w:i/>
          <w:iCs/>
          <w:color w:val="7A8191"/>
          <w:sz w:val="18"/>
          <w:szCs w:val="18"/>
        </w:rPr>
        <w:t xml:space="preserve">Sursa: Prelucrare proprie pe baza datelor simulate.</w:t>
      </w:r>
    </w:p>
    <w:p>
      <w:r>
        <w:t xml:space="preserve">Riscul crește constant cu gradul de îndatorare: de la 1,3% la un DTI sub 30%, la 21,1% la un DTI de peste 40%, χ²(2, N = 400) = 30,29, </w:t>
      </w:r>
      <w:r>
        <w:rPr>
          <w:i/>
          <w:iCs/>
        </w:rPr>
        <w:t xml:space="preserve">p</w:t>
      </w:r>
      <w:r>
        <w:t xml:space="preserve"> &lt; 0,001 (Tabelul 5, Figura 4).</w:t>
      </w:r>
    </w:p>
    <w:p>
      <w:pPr>
        <w:keepNext/>
        <w:spacing w:after="60" w:before="160" w:line="240"/>
        <w:ind w:firstLine="0"/>
        <w:jc w:val="center"/>
      </w:pPr>
      <w:r>
        <w:drawing>
          <wp:inline distT="0" distB="0" distL="0" distR="0">
            <wp:extent cx="5305425" cy="2562225"/>
            <wp:effectExtent t="0" r="0" b="0" l="0"/>
            <wp:docPr id="4" name="Figura 4" descr="Rata creditelor neperformante după clasa gradului de îndatorare (%)" title="Rata creditelor neperformante după clasa gradului de îndator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05425" cy="25622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Rata creditelor neperformante după clasa gradului de îndatorare (%)</w:t>
      </w:r>
    </w:p>
    <w:p>
      <w:pPr>
        <w:spacing w:after="200" w:line="240"/>
        <w:ind w:firstLine="0"/>
        <w:jc w:val="center"/>
      </w:pPr>
      <w:r>
        <w:rPr>
          <w:i/>
          <w:iCs/>
          <w:color w:val="7A8191"/>
          <w:sz w:val="18"/>
          <w:szCs w:val="18"/>
        </w:rPr>
        <w:t xml:space="preserve">Sursa: Prelucrare proprie.</w:t>
      </w:r>
    </w:p>
    <w:p>
      <w:pPr>
        <w:pStyle w:val="Heading2"/>
        <w:keepNext/>
      </w:pPr>
      <w:r>
        <w:t xml:space="preserve">3.3. Diferențe între creditele neperformante și cele rambursate</w:t>
      </w:r>
    </w:p>
    <w:p>
      <w:pPr>
        <w:keepNext/>
        <w:spacing w:after="80" w:before="200" w:line="260"/>
        <w:ind w:firstLine="0"/>
        <w:jc w:val="left"/>
      </w:pPr>
      <w:r>
        <w:rPr>
          <w:b/>
          <w:bCs/>
          <w:sz w:val="22"/>
          <w:szCs w:val="22"/>
        </w:rPr>
        <w:t xml:space="preserve">Tabelul 6.</w:t>
      </w:r>
      <w:r>
        <w:rPr>
          <w:sz w:val="22"/>
          <w:szCs w:val="22"/>
        </w:rPr>
        <w:t xml:space="preserve"> Comparația dintre creditele neperformante și cele rambursate (testul 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Neperformant: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Rambursat: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Venit net lunar (lei)</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4413,91 (1701,56)</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5980,31 (2191,25)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−3,94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398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0,73</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Grad de îndatorare (%)</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42,34 (9,16)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32,19 (9,68)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5,72</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398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1,05</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Vârsta (ani)</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37,94 (10,30)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39,20 (9,50)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−0,72</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398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0,473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0,13</w:t>
            </w:r>
          </w:p>
        </w:tc>
      </w:tr>
    </w:tbl>
    <w:p>
      <w:pPr>
        <w:keepNext/>
        <w:spacing w:after="0" w:before="60" w:line="240"/>
        <w:ind w:firstLine="0"/>
        <w:jc w:val="left"/>
      </w:pPr>
      <w:r>
        <w:rPr>
          <w:i/>
          <w:iCs/>
          <w:sz w:val="18"/>
          <w:szCs w:val="18"/>
        </w:rPr>
        <w:t xml:space="preserve">Notă.</w:t>
      </w:r>
      <w:r>
        <w:rPr>
          <w:sz w:val="18"/>
          <w:szCs w:val="18"/>
        </w:rPr>
        <w:t xml:space="preserve"> n Neperformant = 32, n Rambursat = 368.</w:t>
      </w:r>
    </w:p>
    <w:p>
      <w:pPr>
        <w:spacing w:after="200" w:before="40" w:line="240"/>
        <w:ind w:firstLine="0"/>
        <w:jc w:val="left"/>
      </w:pPr>
      <w:r>
        <w:rPr>
          <w:i/>
          <w:iCs/>
          <w:color w:val="7A8191"/>
          <w:sz w:val="18"/>
          <w:szCs w:val="18"/>
        </w:rPr>
        <w:t xml:space="preserve">Sursa: Prelucrare proprie pe baza datelor simulate.</w:t>
      </w:r>
    </w:p>
    <w:p>
      <w:r>
        <w:t xml:space="preserve">Debitorii cu credite neperformante au un venit mediu mai mic (4413,91 lei față de 5980,31 lei), </w:t>
      </w:r>
      <w:r>
        <w:rPr>
          <w:i/>
          <w:iCs/>
        </w:rPr>
        <w:t xml:space="preserve">t</w:t>
      </w:r>
      <w:r>
        <w:t xml:space="preserve">(398) = −3,94, </w:t>
      </w:r>
      <w:r>
        <w:rPr>
          <w:i/>
          <w:iCs/>
        </w:rPr>
        <w:t xml:space="preserve">p</w:t>
      </w:r>
      <w:r>
        <w:t xml:space="preserve"> &lt; 0,001, și un grad de îndatorare mai mare (42,34% față de 32,19%), </w:t>
      </w:r>
      <w:r>
        <w:rPr>
          <w:i/>
          <w:iCs/>
        </w:rPr>
        <w:t xml:space="preserve">t</w:t>
      </w:r>
      <w:r>
        <w:t xml:space="preserve">(398) = 5,72, </w:t>
      </w:r>
      <w:r>
        <w:rPr>
          <w:i/>
          <w:iCs/>
        </w:rPr>
        <w:t xml:space="preserve">p</w:t>
      </w:r>
      <w:r>
        <w:t xml:space="preserve"> &lt; 0,001, </w:t>
      </w:r>
      <w:r>
        <w:rPr>
          <w:i/>
          <w:iCs/>
        </w:rPr>
        <w:t xml:space="preserve">d</w:t>
      </w:r>
      <w:r>
        <w:t xml:space="preserve"> = 1,05 (Figura 5). Vârsta nu diferă semnificativ, </w:t>
      </w:r>
      <w:r>
        <w:rPr>
          <w:i/>
          <w:iCs/>
        </w:rPr>
        <w:t xml:space="preserve">p</w:t>
      </w:r>
      <w:r>
        <w:t xml:space="preserve"> = 0,473.</w:t>
      </w:r>
    </w:p>
    <w:p>
      <w:pPr>
        <w:keepNext/>
        <w:spacing w:after="60" w:before="160" w:line="240"/>
        <w:ind w:firstLine="0"/>
        <w:jc w:val="center"/>
      </w:pPr>
      <w:r>
        <w:drawing>
          <wp:inline distT="0" distB="0" distL="0" distR="0">
            <wp:extent cx="4933950" cy="2647950"/>
            <wp:effectExtent t="0" r="0" b="0" l="0"/>
            <wp:docPr id="5" name="Figura 5" descr="Gradul de îndatorare la creditele rambursate și la cele neperformante" title="Gradul de îndatorare la creditele rambursate și la cele neperform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933950" cy="26479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Gradul de îndatorare la creditele rambursate și la cele neperformante</w:t>
      </w:r>
    </w:p>
    <w:p>
      <w:pPr>
        <w:spacing w:after="200" w:line="240"/>
        <w:ind w:firstLine="0"/>
        <w:jc w:val="center"/>
      </w:pPr>
      <w:commentRangeStart w:id="11"/>
      <w:r>
        <w:rPr>
          <w:i/>
          <w:iCs/>
          <w:color w:val="7A8191"/>
          <w:sz w:val="18"/>
          <w:szCs w:val="18"/>
        </w:rPr>
        <w:t xml:space="preserve">Sursa: Prelucrare proprie.</w:t>
      </w:r>
      <w:commentRangeEnd w:id="11"/>
      <w:r>
        <w:commentReference w:id="11"/>
      </w:r>
    </w:p>
    <w:p>
      <w:pPr>
        <w:pStyle w:val="Heading2"/>
        <w:keepNext/>
      </w:pPr>
      <w:r>
        <w:t xml:space="preserve">3.4. Grila de scoring propusă</w:t>
      </w:r>
    </w:p>
    <w:p>
      <w:r>
        <w:t xml:space="preserve">Pe baza rezultatelor, propunem o grilă cu trei criterii: gradul de îndatorare și istoricul de credit, care au cea mai mare putere de discriminare, primesc câte maximum 40 de puncte, iar venitul maximum 20 (Tabelul 7). Vârsta nu a fost inclusă: nu diferențiază debitorii, iar folosirea ei ar ridica probleme de tratament nediscriminatoriu.</w:t>
      </w:r>
    </w:p>
    <w:p>
      <w:pPr>
        <w:keepNext/>
        <w:spacing w:after="80" w:before="200" w:line="260"/>
        <w:ind w:firstLine="0"/>
        <w:jc w:val="left"/>
      </w:pPr>
      <w:r>
        <w:rPr>
          <w:b/>
          <w:bCs/>
          <w:sz w:val="22"/>
          <w:szCs w:val="22"/>
        </w:rPr>
        <w:t xml:space="preserve">Tabelul 7.</w:t>
      </w:r>
      <w:r>
        <w:rPr>
          <w:sz w:val="22"/>
          <w:szCs w:val="22"/>
        </w:rPr>
        <w:t xml:space="preserve"> Grila de scoring propusă de autor (maximum 100 de puncte)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023"/>
        <w:gridCol w:w="4535"/>
        <w:gridCol w:w="1511"/>
      </w:tblGrid>
      <w:tr>
        <w:trPr>
          <w:tblHeader/>
        </w:trPr>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45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Categoria</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Puncte</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Grad de îndatorare (DTI)</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Sub 30%</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30–40%</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Peste 40%</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Istoric de credit</w:t>
            </w: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Fără restanțe</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Restanțe minore</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Restanțe majore</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Venit net lunar</w:t>
            </w: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Cel puțin 6 000 lei</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4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3 500–5 999 lei</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4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Sub 3 500 lei</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r>
    </w:tbl>
    <w:p>
      <w:pPr>
        <w:spacing w:after="200" w:before="40" w:line="240"/>
        <w:ind w:firstLine="0"/>
        <w:jc w:val="left"/>
      </w:pPr>
      <w:r>
        <w:rPr>
          <w:i/>
          <w:iCs/>
          <w:color w:val="7A8191"/>
          <w:sz w:val="18"/>
          <w:szCs w:val="18"/>
        </w:rPr>
        <w:t xml:space="preserve">Sursa: Propunere proprie; ponderile reflectă diferențele de rată a creditelor neperformante din Tabelele 4–6.</w:t>
      </w:r>
    </w:p>
    <w:p>
      <w:r>
        <w:t xml:space="preserve">Grila separă bine solicitanții: rata creditelor neperformante scade de la 36,1% la cei cu sub 40 de puncte la 0% la cei cu peste 80 de puncte (Figura 6).</w:t>
      </w:r>
    </w:p>
    <w:p>
      <w:pPr>
        <w:keepNext/>
        <w:spacing w:after="60" w:before="160" w:line="240"/>
        <w:ind w:firstLine="0"/>
        <w:jc w:val="center"/>
      </w:pPr>
      <w:r>
        <w:drawing>
          <wp:inline distT="0" distB="0" distL="0" distR="0">
            <wp:extent cx="5486400" cy="2647950"/>
            <wp:effectExtent t="0" r="0" b="0" l="0"/>
            <wp:docPr id="6" name="Figura 6" descr="Rata creditelor neperformante pe clase de scor (%)" title="Rata creditelor neperformante pe clase de sc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Rata creditelor neperformante pe clase de scor (%)</w:t>
      </w:r>
    </w:p>
    <w:p>
      <w:pPr>
        <w:spacing w:after="200" w:line="240"/>
        <w:ind w:firstLine="0"/>
        <w:jc w:val="center"/>
      </w:pPr>
      <w:r>
        <w:rPr>
          <w:i/>
          <w:iCs/>
          <w:color w:val="7A8191"/>
          <w:sz w:val="18"/>
          <w:szCs w:val="18"/>
        </w:rPr>
        <w:t xml:space="preserve">Sursa: Prelucrare proprie.</w:t>
      </w:r>
    </w:p>
    <w:p>
      <w:pPr>
        <w:pStyle w:val="Heading2"/>
        <w:keepNext/>
      </w:pPr>
      <w:r>
        <w:t xml:space="preserve">3.5. Alegerea pragului de acceptare</w:t>
      </w:r>
    </w:p>
    <w:p>
      <w:pPr>
        <w:keepNext/>
        <w:spacing w:after="80" w:before="200" w:line="260"/>
        <w:ind w:firstLine="0"/>
        <w:jc w:val="left"/>
      </w:pPr>
      <w:r>
        <w:rPr>
          <w:b/>
          <w:bCs/>
          <w:sz w:val="22"/>
          <w:szCs w:val="22"/>
        </w:rPr>
        <w:t xml:space="preserve">Tabelul 8.</w:t>
      </w:r>
      <w:r>
        <w:rPr>
          <w:sz w:val="22"/>
          <w:szCs w:val="22"/>
        </w:rPr>
        <w:t xml:space="preserve"> Efectul pragului de acceptare asupra portofoliului (400 de solicitanți, 32 de credite neperformante)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383"/>
        <w:gridCol w:w="1229"/>
        <w:gridCol w:w="1383"/>
        <w:gridCol w:w="1844"/>
        <w:gridCol w:w="1691"/>
        <w:gridCol w:w="1537"/>
      </w:tblGrid>
      <w:tr>
        <w:trPr>
          <w:tblHeader/>
        </w:trPr>
        <w:tc>
          <w:tcPr>
            <w:tcW w:type="dxa" w:w="13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Pragul (puncte)</w:t>
            </w:r>
          </w:p>
        </w:tc>
        <w:tc>
          <w:tcPr>
            <w:tcW w:type="dxa" w:w="122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Aprobați</w:t>
            </w:r>
          </w:p>
        </w:tc>
        <w:tc>
          <w:tcPr>
            <w:tcW w:type="dxa" w:w="13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Rata de aprobare</w:t>
            </w:r>
          </w:p>
        </w:tc>
        <w:tc>
          <w:tcPr>
            <w:tcW w:type="dxa" w:w="18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Neperformante la aprobați</w:t>
            </w:r>
          </w:p>
        </w:tc>
        <w:tc>
          <w:tcPr>
            <w:tcW w:type="dxa" w:w="16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Neperformante evitate</w:t>
            </w:r>
          </w:p>
        </w:tc>
        <w:tc>
          <w:tcPr>
            <w:tcW w:type="dxa" w:w="15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Buni platnici refuzați</w:t>
            </w:r>
          </w:p>
        </w:tc>
      </w:tr>
      <w:tr>
        <w:trPr>
          <w:cantSplit/>
        </w:trPr>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Fără grilă</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400</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100,0%</w:t>
            </w:r>
          </w:p>
        </w:tc>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 (8,0%)</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 (0,0%)</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r>
      <w:tr>
        <w:trPr>
          <w:cantSplit/>
        </w:trPr>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30</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384</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96,0%</w:t>
            </w:r>
          </w:p>
        </w:tc>
        <w:tc>
          <w:tcPr>
            <w:tcW w:type="dxa" w:w="18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25 (6,5%)</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 (21,9%)</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w:t>
            </w:r>
          </w:p>
        </w:tc>
      </w:tr>
      <w:tr>
        <w:trPr>
          <w:cantSplit/>
        </w:trPr>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40</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364</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91,0%</w:t>
            </w:r>
          </w:p>
        </w:tc>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19 (5,2%)</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 (40,6%)</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w:t>
            </w:r>
          </w:p>
        </w:tc>
      </w:tr>
      <w:tr>
        <w:trPr>
          <w:cantSplit/>
        </w:trPr>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bCs/>
                <w:sz w:val="18"/>
                <w:szCs w:val="18"/>
              </w:rPr>
              <w:t xml:space="preserve">50</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18"/>
                <w:szCs w:val="18"/>
              </w:rPr>
              <w:t xml:space="preserve">332</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18"/>
                <w:szCs w:val="18"/>
              </w:rPr>
              <w:t xml:space="preserve">83,0%</w:t>
            </w:r>
          </w:p>
        </w:tc>
        <w:tc>
          <w:tcPr>
            <w:tcW w:type="dxa" w:w="18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18"/>
                <w:szCs w:val="18"/>
              </w:rPr>
              <w:t xml:space="preserve">12 (3,6%)</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18"/>
                <w:szCs w:val="18"/>
              </w:rPr>
              <w:t xml:space="preserve">20 (62,5%)</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18"/>
                <w:szCs w:val="18"/>
              </w:rPr>
              <w:t xml:space="preserve">48</w:t>
            </w:r>
          </w:p>
        </w:tc>
      </w:tr>
      <w:tr>
        <w:trPr>
          <w:cantSplit/>
        </w:trPr>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60</w:t>
            </w:r>
          </w:p>
        </w:tc>
        <w:tc>
          <w:tcPr>
            <w:tcW w:type="dxa" w:w="122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285</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71,3%</w:t>
            </w:r>
          </w:p>
        </w:tc>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 (2,1%)</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26 (81,3%)</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89</w:t>
            </w:r>
          </w:p>
        </w:tc>
      </w:tr>
      <w:tr>
        <w:trPr>
          <w:cantSplit/>
        </w:trPr>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70</w:t>
            </w:r>
          </w:p>
        </w:tc>
        <w:tc>
          <w:tcPr>
            <w:tcW w:type="dxa" w:w="122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227</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56,8%</w:t>
            </w:r>
          </w:p>
        </w:tc>
        <w:tc>
          <w:tcPr>
            <w:tcW w:type="dxa" w:w="18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 (0,4%)</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 (96,9%)</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142</w:t>
            </w:r>
          </w:p>
        </w:tc>
      </w:tr>
    </w:tbl>
    <w:p>
      <w:pPr>
        <w:spacing w:after="200" w:before="40" w:line="240"/>
        <w:ind w:firstLine="0"/>
        <w:jc w:val="left"/>
      </w:pPr>
      <w:r>
        <w:rPr>
          <w:i/>
          <w:iCs/>
          <w:color w:val="7A8191"/>
          <w:sz w:val="18"/>
          <w:szCs w:val="18"/>
        </w:rPr>
        <w:t xml:space="preserve">Sursa: Calcule proprii: grila din Tabelul 7 aplicată celor 400 de credite simulate.</w:t>
      </w:r>
    </w:p>
    <w:p>
      <w:r>
        <w:t xml:space="preserve">Un prag mai ridicat evită mai multe credite neperformante, dar refuză și mai mulți buni platnici (Tabelul 8, Figura 7). </w:t>
      </w:r>
      <w:r>
        <w:rPr>
          <w:b/>
          <w:bCs/>
        </w:rPr>
        <w:t xml:space="preserve">Recomandăm pragul de 50 de puncte:</w:t>
      </w:r>
      <w:r>
        <w:t xml:space="preserve"> rata de aprobare rămâne de 83,0%, rata creditelor neperformante la creditele aprobate scade de la 8,0% la 3,6%, iar 62,5% dintre creditele neperformante ar fi fost evitate.</w:t>
      </w:r>
    </w:p>
    <w:p>
      <w:pPr>
        <w:keepNext/>
        <w:spacing w:after="60" w:before="160" w:line="240"/>
        <w:ind w:firstLine="0"/>
        <w:jc w:val="center"/>
      </w:pPr>
      <w:r>
        <w:drawing>
          <wp:inline distT="0" distB="0" distL="0" distR="0">
            <wp:extent cx="5486400" cy="2647950"/>
            <wp:effectExtent t="0" r="0" b="0" l="0"/>
            <wp:docPr id="7" name="Figura 7" descr="Compromisul dintre rata de aprobare și creditele neperformante evitate" title="Compromisul dintre rata de aprobare și creditele neperformante ev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Compromisul dintre rata de aprobare și creditele neperformante evitate</w:t>
      </w:r>
    </w:p>
    <w:p>
      <w:pPr>
        <w:spacing w:after="200" w:line="240"/>
        <w:ind w:firstLine="0"/>
        <w:jc w:val="center"/>
      </w:pPr>
      <w:r>
        <w:rPr>
          <w:i/>
          <w:iCs/>
          <w:color w:val="7A8191"/>
          <w:sz w:val="18"/>
          <w:szCs w:val="18"/>
        </w:rPr>
        <w:t xml:space="preserve">Sursa: Prelucrare proprie.</w:t>
      </w:r>
    </w:p>
    <w:p>
      <w:commentRangeStart w:id="12"/>
      <w:r>
        <w:t xml:space="preserve">Pentru un credit mediu ilustrativ de 50 000 lei și o pierdere în caz de nerambursare de 45% (ipoteze ale autorului), pierderea așteptată pe credit scade, conform relației (1.1), de la 0,080 × 0,45 × 50 000 = 1 800 lei la 0,036 × 0,45 × 50 000 = 810 lei. Solicitanții cu scor între 50 și 59 de puncte ar trebui analizați suplimentar de un analist de credit, nu aprobați automat.</w:t>
      </w:r>
      <w:commentRangeEnd w:id="12"/>
      <w:r>
        <w:commentReference w:id="12"/>
      </w:r>
    </w:p>
    <w:p>
      <w:pPr>
        <w:pStyle w:val="Heading1"/>
        <w:pageBreakBefore/>
      </w:pPr>
      <w:commentRangeStart w:id="13"/>
      <w:r>
        <w:t xml:space="preserve">Concluzii</w:t>
      </w:r>
      <w:commentRangeEnd w:id="13"/>
      <w:r>
        <w:commentReference w:id="13"/>
      </w:r>
    </w:p>
    <w:p>
      <w:r>
        <w:t xml:space="preserve">Analiza portofoliului simulat arată că istoricul de credit și gradul de îndatorare sunt cei mai importanți factori asociați cu nerambursarea, urmați de venit; vârsta nu diferențiază debitorii. Grila de scoring propusă, cu trei criterii, separă clar solicitanții după risc. La un prag de 50 de puncte, banca ar aproba 83% dintre solicitanți și ar reduce rata creditelor neperformante la creditele aprobate la mai puțin de jumătate.</w:t>
      </w:r>
    </w:p>
    <w:p>
      <w:r>
        <w:rPr>
          <w:b/>
          <w:bCs/>
        </w:rPr>
        <w:t xml:space="preserve">Limite:</w:t>
      </w:r>
      <w:r>
        <w:t xml:space="preserve"> datele sunt simulate, grila a fost testată pe aceleași date pe care a fost construită, iar perioada de urmărire este de doar 12 luni. </w:t>
      </w:r>
      <w:r>
        <w:rPr>
          <w:b/>
          <w:bCs/>
        </w:rPr>
        <w:t xml:space="preserve">Direcții viitoare:</w:t>
      </w:r>
      <w:r>
        <w:t xml:space="preserve"> validarea pe un eșantion separat și compararea grilei cu un model de regresie logistică.</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Basel Committee on Banking Supervision [BCBS]. (2006). </w:t>
      </w:r>
      <w:r>
        <w:rPr>
          <w:i/>
          <w:iCs/>
        </w:rPr>
        <w:t xml:space="preserve">International convergence of capital measurement and capital standards: A revised framework</w:t>
      </w:r>
      <w:r>
        <w:t xml:space="preserve"> (Comprehensive version). Bank for International Settlements.</w:t>
      </w:r>
    </w:p>
    <w:p>
      <w:pPr>
        <w:spacing w:after="100" w:line="300"/>
        <w:ind w:left="709" w:hanging="709" w:firstLine="0"/>
        <w:jc w:val="left"/>
      </w:pPr>
      <w:r>
        <w:t xml:space="preserve">Georgescu, A. (2020). </w:t>
      </w:r>
      <w:r>
        <w:rPr>
          <w:i/>
          <w:iCs/>
        </w:rPr>
        <w:t xml:space="preserve">Management bancar și riscul de credit</w:t>
      </w:r>
      <w:r>
        <w:t xml:space="preserve">. Editura Exemplu.</w:t>
      </w:r>
    </w:p>
    <w:p>
      <w:pPr>
        <w:spacing w:after="100" w:line="300"/>
        <w:ind w:left="709" w:hanging="709" w:firstLine="0"/>
        <w:jc w:val="left"/>
      </w:pPr>
      <w:r>
        <w:t xml:space="preserve">Ionescu, B., &amp; Toma, L. (2022). Gradul de îndatorare și rata creditelor neperformante la creditele de consum. </w:t>
      </w:r>
      <w:r>
        <w:rPr>
          <w:i/>
          <w:iCs/>
        </w:rPr>
        <w:t xml:space="preserve">Revista Finanțe și Bănci, 10</w:t>
      </w:r>
      <w:r>
        <w:t xml:space="preserve">(2), 40–57.</w:t>
      </w:r>
    </w:p>
    <w:p>
      <w:pPr>
        <w:spacing w:after="100" w:line="300"/>
        <w:ind w:left="709" w:hanging="709" w:firstLine="0"/>
        <w:jc w:val="left"/>
      </w:pPr>
      <w:r>
        <w:t xml:space="preserve">Matei, C. (2023). Modele de scoring pentru creditele de consum: o comparație practică. </w:t>
      </w:r>
      <w:r>
        <w:rPr>
          <w:i/>
          <w:iCs/>
        </w:rPr>
        <w:t xml:space="preserve">Studii Financiare, 6</w:t>
      </w:r>
      <w:r>
        <w:t xml:space="preserve">(1), 9–26.</w:t>
      </w:r>
    </w:p>
    <w:p>
      <w:pPr>
        <w:spacing w:after="100" w:line="300"/>
        <w:ind w:left="709" w:hanging="709" w:firstLine="0"/>
        <w:jc w:val="left"/>
      </w:pPr>
      <w:r>
        <w:t xml:space="preserve">Regulamentul (UE) nr. 575/2013 al Parlamentului European și al Consiliului din 26 iunie 2013 privind cerințele prudențiale pentru instituțiile de credit și societățile de investiții, cu modificările ulterioare.</w:t>
      </w:r>
    </w:p>
    <w:p>
      <w:pPr>
        <w:pStyle w:val="Heading1"/>
        <w:pageBreakBefore/>
      </w:pPr>
      <w:commentRangeStart w:id="15"/>
      <w:r>
        <w:t xml:space="preserve">Anexa 1. Fișa de calcul a scorului pentru un solicitant (exemplu)</w:t>
      </w:r>
      <w:commentRangeEnd w:id="15"/>
      <w:r>
        <w:commentReference w:id="15"/>
      </w:r>
    </w:p>
    <w:p>
      <w:r>
        <w:rPr>
          <w:b/>
          <w:bCs/>
        </w:rPr>
        <w:t xml:space="preserve">Solicitant fictiv:</w:t>
      </w:r>
      <w:r>
        <w:t xml:space="preserve"> venit net 4 800 lei, rate lunare existente 1 680 lei, fără restanțe în ultimii 3 ani.</w:t>
      </w:r>
    </w:p>
    <w:p>
      <w:pPr>
        <w:tabs>
          <w:tab w:val="left" w:pos="709"/>
        </w:tabs>
        <w:spacing w:after="60"/>
        <w:ind w:left="709" w:hanging="357" w:firstLine="0"/>
        <w:jc w:val="left"/>
      </w:pPr>
      <w:r>
        <w:t xml:space="preserve">1.	</w:t>
      </w:r>
      <w:r>
        <w:t xml:space="preserve">Gradul de îndatorare: 1 680 / 4 800 × 100 = 35,0%, deci clasa 30–40%: 20 de puncte.</w:t>
      </w:r>
    </w:p>
    <w:p>
      <w:pPr>
        <w:tabs>
          <w:tab w:val="left" w:pos="709"/>
        </w:tabs>
        <w:spacing w:after="60"/>
        <w:ind w:left="709" w:hanging="357" w:firstLine="0"/>
        <w:jc w:val="left"/>
      </w:pPr>
      <w:r>
        <w:t xml:space="preserve">2.	</w:t>
      </w:r>
      <w:r>
        <w:t xml:space="preserve">Istoricul de credit: fără restanțe: 40 de puncte.</w:t>
      </w:r>
    </w:p>
    <w:p>
      <w:pPr>
        <w:tabs>
          <w:tab w:val="left" w:pos="709"/>
        </w:tabs>
        <w:spacing w:after="60"/>
        <w:ind w:left="709" w:hanging="357" w:firstLine="0"/>
        <w:jc w:val="left"/>
      </w:pPr>
      <w:r>
        <w:t xml:space="preserve">3.	</w:t>
      </w:r>
      <w:r>
        <w:t xml:space="preserve">Venitul net: între 3 500 și 5 999 lei: 10 puncte.</w:t>
      </w:r>
    </w:p>
    <w:p>
      <w:pPr>
        <w:tabs>
          <w:tab w:val="left" w:pos="709"/>
        </w:tabs>
        <w:spacing w:after="60"/>
        <w:ind w:left="709" w:hanging="357" w:firstLine="0"/>
        <w:jc w:val="left"/>
      </w:pPr>
      <w:r>
        <w:t xml:space="preserve">4.	</w:t>
      </w:r>
      <w:r>
        <w:t xml:space="preserve">Scor total: 70 de puncte, peste pragul de 50: creditul se aprobă.</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Finanțe și Bănci.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Clientii cu venituri mici sunt rau platnici si nu ar trebui sa primeasca credite. Din datele noastre se vede clar ca DTI mare duce la default, deci banca trebuie sa refuze pe toata lumea cu DTI peste 40% si riscul dispare.</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Rata creditelor neperformante crește odată cu gradul de îndatorare, de la 1,3% la un DTI sub 30% la 21,1% la un DTI de peste 40% (Tabelul 5). Totuși, aproape 80% dintre solicitanții cu DTI peste 40% și-au rambursat creditul, astfel încât refuzarea automată a acestora ar elimina și mulți buni platnici. De aceea propunem o grilă de scoring care combină gradul de îndatorare cu istoricul de credit și venitul (Tabelul 7).</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și am explicat abrevierile la prima folosire (DTI = grad de îndatorare).</w:t>
      </w:r>
    </w:p>
    <w:p>
      <w:pPr>
        <w:tabs>
          <w:tab w:val="left" w:pos="709"/>
        </w:tabs>
        <w:spacing w:after="60"/>
        <w:ind w:left="709" w:hanging="357" w:firstLine="0"/>
        <w:jc w:val="left"/>
      </w:pPr>
      <w:r>
        <w:t xml:space="preserve">2.	</w:t>
      </w:r>
      <w:r>
        <w:t xml:space="preserve">Generalizarea „clienții cu venituri mici sunt rău platnici” a fost înlocuită cu rate calculate, cu trimitere la tabel.</w:t>
      </w:r>
    </w:p>
    <w:p>
      <w:pPr>
        <w:tabs>
          <w:tab w:val="left" w:pos="709"/>
        </w:tabs>
        <w:spacing w:after="60"/>
        <w:ind w:left="709" w:hanging="357" w:firstLine="0"/>
        <w:jc w:val="left"/>
      </w:pPr>
      <w:r>
        <w:t xml:space="preserve">3.	</w:t>
      </w:r>
      <w:r>
        <w:t xml:space="preserve">„Duce la default” a devenit „este asociat cu”: datele arată o asociere, nu o cauză.</w:t>
      </w:r>
    </w:p>
    <w:p>
      <w:pPr>
        <w:tabs>
          <w:tab w:val="left" w:pos="709"/>
        </w:tabs>
        <w:spacing w:after="60"/>
        <w:ind w:left="709" w:hanging="357" w:firstLine="0"/>
        <w:jc w:val="left"/>
      </w:pPr>
      <w:r>
        <w:t xml:space="preserve">4.	</w:t>
      </w:r>
      <w:r>
        <w:t xml:space="preserve">Am arătat și costul măsurii propuse: refuzarea bunilor platnici.</w:t>
      </w:r>
    </w:p>
    <w:p>
      <w:pPr>
        <w:tabs>
          <w:tab w:val="left" w:pos="709"/>
        </w:tabs>
        <w:spacing w:after="60"/>
        <w:ind w:left="709" w:hanging="357" w:firstLine="0"/>
        <w:jc w:val="left"/>
      </w:pPr>
      <w:r>
        <w:t xml:space="preserve">5.	</w:t>
      </w:r>
      <w:r>
        <w:t xml:space="preserve">Concluzia „riscul dispare” a fost înlocuită cu o propunere echilibrată.</w:t>
      </w:r>
    </w:p>
    <w:p>
      <w:pPr>
        <w:spacing w:before="360"/>
        <w:ind w:firstLine="0"/>
        <w:jc w:val="left"/>
      </w:pPr>
      <w:r>
        <w:rPr>
          <w:b/>
          <w:bCs/>
        </w:rPr>
        <w:t xml:space="preserve">Vrei aceeași corectare pentru lucrarea ta? </w:t>
      </w:r>
      <w:hyperlink w:history="1" r:id="rIdgamiyx0imdkvlyqm8heru">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fimvnlnmr1ncgj85xawvn">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mhnoqc-rpgt1ogaob48vi">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arată de ce riscul de credit este important pentru bancă, ce întrebare pui, ce date folosești și ce obții la final (aici, o grilă de scoring).</w:t>
      </w:r>
    </w:p>
    <w:p>
      <w:r>
        <w:rPr>
          <w:rFonts w:ascii="Arial" w:cs="Arial" w:eastAsia="Arial" w:hAnsi="Arial"/>
          <w:b/>
          <w:bCs/>
          <w:sz w:val="16"/>
          <w:szCs w:val="16"/>
        </w:rPr>
        <w:t xml:space="preserve">Ghid: </w:t>
      </w:r>
      <w:hyperlink w:history="1" r:id="rIdm2u4b15w3atzcabm45ieb">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Finanțe și Bănci, o lucrare câștigă mult dacă se încheie cu un instrument concret (o grilă, un model, un set de limite), nu doar cu descrierea indicatorilor.</w:t>
      </w:r>
    </w:p>
    <w:p>
      <w:r>
        <w:rPr>
          <w:rFonts w:ascii="Arial" w:cs="Arial" w:eastAsia="Arial" w:hAnsi="Arial"/>
          <w:b/>
          <w:bCs/>
          <w:sz w:val="16"/>
          <w:szCs w:val="16"/>
        </w:rPr>
        <w:t xml:space="preserve">Ghid: </w:t>
      </w:r>
      <w:hyperlink w:history="1" r:id="rIdzrjsk-rqcvqjcdi_jjdia">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definește riscul de credit, indicatorii lui și metodele de evaluare pe care le aplici. Definițiile din reglementări se citează exact, cu articolul.</w:t>
      </w:r>
    </w:p>
    <w:p>
      <w:r>
        <w:rPr>
          <w:rFonts w:ascii="Arial" w:cs="Arial" w:eastAsia="Arial" w:hAnsi="Arial"/>
          <w:b/>
          <w:bCs/>
          <w:sz w:val="16"/>
          <w:szCs w:val="16"/>
        </w:rPr>
        <w:t xml:space="preserve">Ghid: </w:t>
      </w:r>
      <w:hyperlink w:history="1" r:id="rIdvfjpnzxooqgmqpftssl-p">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amesteca definițiile: „credit restant”, „credit neperformant” și „default” nu sunt sinonime. Spune explicit ce definiție folosești și păstreaz-o în toată lucrarea.</w:t>
      </w:r>
    </w:p>
  </w:comment>
  <w:comment w:id="8" w:initials="LR" w:author="Rolul secțiunii" w:date="2026-05-20T10:00:00.000Z">
    <w:p>
      <w:r>
        <w:rPr>
          <w:sz w:val="18"/>
          <w:szCs w:val="18"/>
        </w:rPr>
        <w:t xml:space="preserve">Metodologia descrie portofoliul, variabilele, definiția nerambursării și testele statistice. Spune clar că datele sunt simulate sau, într-o lucrare reală, cum le-ai obținut și cum au fost anonimizate.</w:t>
      </w:r>
    </w:p>
  </w:comment>
  <w:comment w:id="9" w:initials="LR" w:author="Greșeală frecventă" w:date="2026-05-20T10:00:00.000Z">
    <w:p>
      <w:r>
        <w:rPr>
          <w:sz w:val="18"/>
          <w:szCs w:val="18"/>
        </w:rPr>
        <w:t xml:space="preserve">Datele de credit ale clienților unei bănci sunt confidențiale și protejate de secretul bancar și de legislația privind datele personale. Într-o lucrare reală folosești date agregate sau anonimizate, cu acordul scris al băncii, și nu publici nimic care ar permite identificarea clienților.</w:t>
      </w:r>
    </w:p>
  </w:comment>
  <w:comment w:id="10" w:initials="LR" w:author="Rolul secțiunii" w:date="2026-05-20T10:00:00.000Z">
    <w:p>
      <w:r>
        <w:rPr>
          <w:sz w:val="18"/>
          <w:szCs w:val="18"/>
        </w:rPr>
        <w:t xml:space="preserve">Partea aplicativă este contribuția ta: identifici factorii de risc, apoi îi transformi într-un instrument de decizie și arăți ce efect are. Fiecare tabel este urmat de interpretare.</w:t>
      </w:r>
    </w:p>
  </w:comment>
  <w:comment w:id="11" w:initials="LR" w:author="Sfat" w:date="2026-05-20T10:00:00.000Z">
    <w:p>
      <w:r>
        <w:rPr>
          <w:sz w:val="18"/>
          <w:szCs w:val="18"/>
        </w:rPr>
        <w:t xml:space="preserve">Când grupurile au mărimi foarte diferite (aici 32 față de 368), raportează și mărimea efectului (d Cohen), nu doar valoarea p. Pentru o analiză riguroasă, verifică și egalitatea varianțelor (testul Levene).</w:t>
      </w:r>
    </w:p>
  </w:comment>
  <w:comment w:id="12" w:initials="LR" w:author="Greșeală frecventă" w:date="2026-05-20T10:00:00.000Z">
    <w:p>
      <w:r>
        <w:rPr>
          <w:sz w:val="18"/>
          <w:szCs w:val="18"/>
        </w:rPr>
        <w:t xml:space="preserve">Grila a fost construită și testată pe aceleași date, deci performanța ei este probabil supraestimată. Într-o lucrare riguroasă, împarte datele într-un eșantion de construire și unul de validare și raportează rezultatele pe cel de validare.</w:t>
      </w:r>
    </w:p>
  </w:comment>
  <w:comment w:id="13" w:initials="LR" w:author="Rolul secțiunii" w:date="2026-05-20T10:00:00.000Z">
    <w:p>
      <w:r>
        <w:rPr>
          <w:sz w:val="18"/>
          <w:szCs w:val="18"/>
        </w:rPr>
        <w:t xml:space="preserve">Concluziile reiau obiectivele, rezumă factorii de risc identificați și recomandarea principală, apoi spun limitele. Nu adaugă cifre noi.</w:t>
      </w:r>
    </w:p>
    <w:p>
      <w:r>
        <w:rPr>
          <w:rFonts w:ascii="Arial" w:cs="Arial" w:eastAsia="Arial" w:hAnsi="Arial"/>
          <w:b/>
          <w:bCs/>
          <w:sz w:val="16"/>
          <w:szCs w:val="16"/>
        </w:rPr>
        <w:t xml:space="preserve">Ghid: </w:t>
      </w:r>
      <w:hyperlink w:history="1" r:id="rIdzifzebmbvm6v_cpfj-uep">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Regulamentul (UE) nr. 575/2013 și documentul Comitetului de la Basel sunt reale; celelalte surse sunt generice, inventate pentru acest exemplu. În lucrarea ta citezi doar surse reale, în stilul cerut (aici APA 7).</w:t>
      </w:r>
    </w:p>
    <w:p>
      <w:r>
        <w:rPr>
          <w:rFonts w:ascii="Arial" w:cs="Arial" w:eastAsia="Arial" w:hAnsi="Arial"/>
          <w:b/>
          <w:bCs/>
          <w:sz w:val="16"/>
          <w:szCs w:val="16"/>
        </w:rPr>
        <w:t xml:space="preserve">Ghid: </w:t>
      </w:r>
      <w:hyperlink w:history="1" r:id="rIdrltujfkk2fdzj_qnfp7ar">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În anexă pui instrumentele de lucru: fișa de scoring, codul sau formulele din Excel, tabelele prea mari pentru text. Fiecare anexă este menționată în lucrare.</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7-sdui0cpxlqwzc380zpn">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w44sgxmxahxw5ti3osd8e">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pfgsdx0meg0miyb8wz7jh">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fimvnlnmr1ncgj85xawvn" Type="http://schemas.openxmlformats.org/officeDocument/2006/relationships/hyperlink" Target="https://licenta-disertatie-romania.com/blog/cuprins-lucrare-licenta/" TargetMode="External"/><Relationship Id="rIdmhnoqc-rpgt1ogaob48vi" Type="http://schemas.openxmlformats.org/officeDocument/2006/relationships/hyperlink" Target="https://licenta-disertatie-romania.com/blog/formatare-lucrare-licenta/" TargetMode="External"/><Relationship Id="rIdm2u4b15w3atzcabm45ieb" Type="http://schemas.openxmlformats.org/officeDocument/2006/relationships/hyperlink" Target="https://licenta-disertatie-romania.com/blog/introducere-lucrare-licenta/" TargetMode="External"/><Relationship Id="rIdzrjsk-rqcvqjcdi_jjdia" Type="http://schemas.openxmlformats.org/officeDocument/2006/relationships/hyperlink" Target="https://licenta-disertatie-romania.com/blog/ipoteze-obiective-lucrare-licenta/" TargetMode="External"/><Relationship Id="rIdvfjpnzxooqgmqpftssl-p" Type="http://schemas.openxmlformats.org/officeDocument/2006/relationships/hyperlink" Target="https://licenta-disertatie-romania.com/blog/structura-lucrare-licenta/" TargetMode="External"/><Relationship Id="rIdzifzebmbvm6v_cpfj-uep" Type="http://schemas.openxmlformats.org/officeDocument/2006/relationships/hyperlink" Target="https://licenta-disertatie-romania.com/blog/concluzii-lucrare-licenta/" TargetMode="External"/><Relationship Id="rIdrltujfkk2fdzj_qnfp7ar" Type="http://schemas.openxmlformats.org/officeDocument/2006/relationships/hyperlink" Target="https://licenta-disertatie-romania.com/resurse/generator-citare-apa/" TargetMode="External"/><Relationship Id="rId7-sdui0cpxlqwzc380zpn"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gamiyx0imdkvlyqm8heru" Type="http://schemas.openxmlformats.org/officeDocument/2006/relationships/hyperlink" Target="https://licenta-disertatie-romania.com/contact/" TargetMode="External"/><Relationship Id="rId10" Type="http://schemas.openxmlformats.org/officeDocument/2006/relationships/image" Target="media/77f0b147249557ffc956d8b0746d7cf5d0b2ea34.png"/><Relationship Id="rId11" Type="http://schemas.openxmlformats.org/officeDocument/2006/relationships/image" Target="media/229eb3cc806e34148c4e126532dda0200579ffb2.png"/><Relationship Id="rId12" Type="http://schemas.openxmlformats.org/officeDocument/2006/relationships/image" Target="media/d667cb9b77b84952eaaef7934fa255a25d6529f9.png"/><Relationship Id="rId13" Type="http://schemas.openxmlformats.org/officeDocument/2006/relationships/image" Target="media/ab935b22ccdf589582718760b17a097fd414ea43.png"/><Relationship Id="rId14" Type="http://schemas.openxmlformats.org/officeDocument/2006/relationships/image" Target="media/0477622a24827caba037cf53674c4909b311043d.png"/><Relationship Id="rId15" Type="http://schemas.openxmlformats.org/officeDocument/2006/relationships/image" Target="media/0e4ff3371623d45aa90b96ffda06708f2d96b1ed.png"/><Relationship Id="rId16" Type="http://schemas.openxmlformats.org/officeDocument/2006/relationships/image" Target="media/bc981348d19f9834f6971e71d26ee45cd3063f1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44sgxmxahxw5ti3osd8e"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pfgsdx0meg0miyb8wz7jh"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Finanțe și Bănci</dc:title>
  <dc:creator>Licenta RO</dc:creator>
  <dc:description>Exemplu fictiv cu date simulate: licenta-disertatie-romania.com</dc:description>
  <cp:lastModifiedBy>Un-named</cp:lastModifiedBy>
  <cp:revision>1</cp:revision>
  <dcterms:created xsi:type="dcterms:W3CDTF">2026-10-05T20:23:41.481Z</dcterms:created>
  <dcterms:modified xsi:type="dcterms:W3CDTF">2026-10-05T20:23:41.481Z</dcterms:modified>
</cp:coreProperties>
</file>

<file path=docProps/custom.xml><?xml version="1.0" encoding="utf-8"?>
<Properties xmlns="http://schemas.openxmlformats.org/officeDocument/2006/custom-properties" xmlns:vt="http://schemas.openxmlformats.org/officeDocument/2006/docPropsVTypes"/>
</file>