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CONTABILITATE ȘI INFORMATICĂ DE GESTIUNE</w:t>
      </w:r>
    </w:p>
    <w:p>
      <w:pPr>
        <w:spacing w:after="0" w:before="60"/>
        <w:ind w:firstLine="0"/>
        <w:jc w:val="center"/>
      </w:pPr>
      <w:r>
        <w:rPr>
          <w:b w:val="false"/>
          <w:bCs w:val="false"/>
          <w:i w:val="false"/>
          <w:iCs w:val="false"/>
        </w:rPr>
        <w:t xml:space="preserve">Programul de studii: Contabilitate și informatică de gestiune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Analiza situațiilor financiare ale unei societăți comerciale</w:t>
      </w:r>
    </w:p>
    <w:p>
      <w:pPr>
        <w:spacing w:after="0" w:before="120"/>
        <w:ind w:firstLine="0"/>
        <w:jc w:val="center"/>
      </w:pPr>
      <w:r>
        <w:rPr>
          <w:b w:val="false"/>
          <w:bCs w:val="false"/>
          <w:i/>
          <w:iCs/>
          <w:sz w:val="24"/>
          <w:szCs w:val="24"/>
        </w:rPr>
        <w:t xml:space="preserve">Studiu de caz: SC Exemplu SRL, 2023–2025</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Ana Stoica (nume fictiv)</w:t>
      </w:r>
    </w:p>
    <w:p>
      <w:pPr>
        <w:spacing w:before="300"/>
        <w:ind w:firstLine="0"/>
        <w:jc w:val="right"/>
      </w:pPr>
      <w:r>
        <w:rPr>
          <w:b/>
          <w:bCs/>
        </w:rPr>
        <w:t xml:space="preserve">Absolvent:</w:t>
      </w:r>
    </w:p>
    <w:p>
      <w:pPr>
        <w:ind w:firstLine="0"/>
        <w:jc w:val="right"/>
      </w:pPr>
      <w:r>
        <w:t xml:space="preserve">Mihai Popa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Popa</w:t>
      </w:r>
      <w:r>
        <w:t xml:space="preserve">, absolvent(ă) al(a) programului de studii Contabilitate și informatică de gestiune, declar pe propria răspundere că lucrarea de licență cu titlul „Analiza situațiilor financiare ale unei societăți comerciale”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legislativ și metodologic al analizei financiare</w:t>
      </w:r>
      <w:r>
        <w:t xml:space="preserve">	7</w:t>
      </w:r>
    </w:p>
    <w:p>
      <w:pPr>
        <w:tabs>
          <w:tab w:val="right" w:pos="9026" w:leader="dot"/>
        </w:tabs>
        <w:spacing w:after="40" w:line="300"/>
        <w:ind w:left="400" w:firstLine="0"/>
        <w:jc w:val="left"/>
      </w:pPr>
      <w:r>
        <w:rPr>
          <w:b w:val="false"/>
          <w:bCs w:val="false"/>
        </w:rPr>
        <w:t xml:space="preserve">1.1. Situațiile financiare anuale</w:t>
      </w:r>
      <w:r>
        <w:t xml:space="preserve">	7</w:t>
      </w:r>
    </w:p>
    <w:p>
      <w:pPr>
        <w:tabs>
          <w:tab w:val="right" w:pos="9026" w:leader="dot"/>
        </w:tabs>
        <w:spacing w:after="40" w:line="300"/>
        <w:ind w:left="400" w:firstLine="0"/>
        <w:jc w:val="left"/>
      </w:pPr>
      <w:r>
        <w:rPr>
          <w:b w:val="false"/>
          <w:bCs w:val="false"/>
        </w:rPr>
        <w:t xml:space="preserve">1.2. Metodele de analiză</w:t>
      </w:r>
      <w:r>
        <w:t xml:space="preserve">	7</w:t>
      </w:r>
    </w:p>
    <w:p>
      <w:pPr>
        <w:tabs>
          <w:tab w:val="right" w:pos="9026" w:leader="dot"/>
        </w:tabs>
        <w:spacing w:after="40" w:line="300"/>
        <w:ind w:left="0" w:firstLine="0"/>
        <w:jc w:val="left"/>
      </w:pPr>
      <w:r>
        <w:rPr>
          <w:b/>
          <w:bCs/>
        </w:rPr>
        <w:t xml:space="preserve">Capitolul 2. Prezentarea SC Exemplu SRL</w:t>
      </w:r>
      <w:r>
        <w:t xml:space="preserve">	9</w:t>
      </w:r>
    </w:p>
    <w:p>
      <w:pPr>
        <w:tabs>
          <w:tab w:val="right" w:pos="9026" w:leader="dot"/>
        </w:tabs>
        <w:spacing w:after="40" w:line="300"/>
        <w:ind w:left="0" w:firstLine="0"/>
        <w:jc w:val="left"/>
      </w:pPr>
      <w:r>
        <w:rPr>
          <w:b/>
          <w:bCs/>
        </w:rPr>
        <w:t xml:space="preserve">Capitolul 3. Analiza situației financiare a SC Exemplu SRL</w:t>
      </w:r>
      <w:r>
        <w:t xml:space="preserve">	10</w:t>
      </w:r>
    </w:p>
    <w:p>
      <w:pPr>
        <w:tabs>
          <w:tab w:val="right" w:pos="9026" w:leader="dot"/>
        </w:tabs>
        <w:spacing w:after="40" w:line="300"/>
        <w:ind w:left="400" w:firstLine="0"/>
        <w:jc w:val="left"/>
      </w:pPr>
      <w:r>
        <w:rPr>
          <w:b w:val="false"/>
          <w:bCs w:val="false"/>
        </w:rPr>
        <w:t xml:space="preserve">3.1. Analiza bilanțului</w:t>
      </w:r>
      <w:r>
        <w:t xml:space="preserve">	10</w:t>
      </w:r>
    </w:p>
    <w:p>
      <w:pPr>
        <w:tabs>
          <w:tab w:val="right" w:pos="9026" w:leader="dot"/>
        </w:tabs>
        <w:spacing w:after="40" w:line="300"/>
        <w:ind w:left="400" w:firstLine="0"/>
        <w:jc w:val="left"/>
      </w:pPr>
      <w:r>
        <w:rPr>
          <w:b w:val="false"/>
          <w:bCs w:val="false"/>
        </w:rPr>
        <w:t xml:space="preserve">3.2. Analiza contului de profit și pierdere</w:t>
      </w:r>
      <w:r>
        <w:t xml:space="preserve">	11</w:t>
      </w:r>
    </w:p>
    <w:p>
      <w:pPr>
        <w:tabs>
          <w:tab w:val="right" w:pos="9026" w:leader="dot"/>
        </w:tabs>
        <w:spacing w:after="40" w:line="300"/>
        <w:ind w:left="400" w:firstLine="0"/>
        <w:jc w:val="left"/>
      </w:pPr>
      <w:r>
        <w:rPr>
          <w:b w:val="false"/>
          <w:bCs w:val="false"/>
        </w:rPr>
        <w:t xml:space="preserve">3.3. Echilibrul financiar</w:t>
      </w:r>
      <w:r>
        <w:t xml:space="preserve">	12</w:t>
      </w:r>
    </w:p>
    <w:p>
      <w:pPr>
        <w:tabs>
          <w:tab w:val="right" w:pos="9026" w:leader="dot"/>
        </w:tabs>
        <w:spacing w:after="40" w:line="300"/>
        <w:ind w:left="400" w:firstLine="0"/>
        <w:jc w:val="left"/>
      </w:pPr>
      <w:r>
        <w:rPr>
          <w:b w:val="false"/>
          <w:bCs w:val="false"/>
        </w:rPr>
        <w:t xml:space="preserve">3.4. Indicatorii de lichiditate, solvabilitate și rentabilitate</w:t>
      </w:r>
      <w:r>
        <w:t xml:space="preserve">	13</w:t>
      </w:r>
    </w:p>
    <w:p>
      <w:pPr>
        <w:tabs>
          <w:tab w:val="right" w:pos="9026" w:leader="dot"/>
        </w:tabs>
        <w:spacing w:after="40" w:line="300"/>
        <w:ind w:left="400" w:firstLine="0"/>
        <w:jc w:val="left"/>
      </w:pPr>
      <w:r>
        <w:rPr>
          <w:b w:val="false"/>
          <w:bCs w:val="false"/>
        </w:rPr>
        <w:t xml:space="preserve">3.5. Duratele de rotație</w:t>
      </w:r>
      <w:r>
        <w:t xml:space="preserve">	14</w:t>
      </w:r>
    </w:p>
    <w:p>
      <w:pPr>
        <w:tabs>
          <w:tab w:val="right" w:pos="9026" w:leader="dot"/>
        </w:tabs>
        <w:spacing w:after="40" w:line="300"/>
        <w:ind w:left="400" w:firstLine="0"/>
        <w:jc w:val="left"/>
      </w:pPr>
      <w:r>
        <w:rPr>
          <w:b w:val="false"/>
          <w:bCs w:val="false"/>
        </w:rPr>
        <w:t xml:space="preserve">3.6. Diagnosticul și recomandările autorului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Bilanțul prescurtat al SC Exemplu SRL (extras, cifre simulate)</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Situațiile financiare anuale și informațiile folosite în analiză</w:t>
      </w:r>
      <w:r>
        <w:t xml:space="preserve">	7</w:t>
      </w:r>
    </w:p>
    <w:p>
      <w:pPr>
        <w:tabs>
          <w:tab w:val="right" w:pos="9026" w:leader="dot"/>
        </w:tabs>
        <w:spacing w:after="40" w:line="300"/>
        <w:ind w:left="0" w:firstLine="0"/>
        <w:jc w:val="left"/>
      </w:pPr>
      <w:r>
        <w:rPr>
          <w:b w:val="false"/>
          <w:bCs w:val="false"/>
        </w:rPr>
        <w:t xml:space="preserve">Figura 2. Etapele analizei situațiilor financiare</w:t>
      </w:r>
      <w:r>
        <w:t xml:space="preserve">	7</w:t>
      </w:r>
    </w:p>
    <w:p>
      <w:pPr>
        <w:tabs>
          <w:tab w:val="right" w:pos="9026" w:leader="dot"/>
        </w:tabs>
        <w:spacing w:after="40" w:line="300"/>
        <w:ind w:left="0" w:firstLine="0"/>
        <w:jc w:val="left"/>
      </w:pPr>
      <w:r>
        <w:rPr>
          <w:b w:val="false"/>
          <w:bCs w:val="false"/>
        </w:rPr>
        <w:t xml:space="preserve">Figura 3. Repere din activitatea SC Exemplu SRL (date fictive)</w:t>
      </w:r>
      <w:r>
        <w:t xml:space="preserve">	9</w:t>
      </w:r>
    </w:p>
    <w:p>
      <w:pPr>
        <w:tabs>
          <w:tab w:val="right" w:pos="9026" w:leader="dot"/>
        </w:tabs>
        <w:spacing w:after="40" w:line="300"/>
        <w:ind w:left="0" w:firstLine="0"/>
        <w:jc w:val="left"/>
      </w:pPr>
      <w:r>
        <w:rPr>
          <w:b w:val="false"/>
          <w:bCs w:val="false"/>
        </w:rPr>
        <w:t xml:space="preserve">Figura 4. Structura activului, 2023–2025 (% din total activ)</w:t>
      </w:r>
      <w:r>
        <w:t xml:space="preserve">	11</w:t>
      </w:r>
    </w:p>
    <w:p>
      <w:pPr>
        <w:tabs>
          <w:tab w:val="right" w:pos="9026" w:leader="dot"/>
        </w:tabs>
        <w:spacing w:after="40" w:line="300"/>
        <w:ind w:left="0" w:firstLine="0"/>
        <w:jc w:val="left"/>
      </w:pPr>
      <w:r>
        <w:rPr>
          <w:b w:val="false"/>
          <w:bCs w:val="false"/>
        </w:rPr>
        <w:t xml:space="preserve">Figura 5. Rezultatul din exploatare, rezultatul brut și profitul net, 2023–2025 (mii lei)</w:t>
      </w:r>
      <w:r>
        <w:t xml:space="preserve">	12</w:t>
      </w:r>
    </w:p>
    <w:p>
      <w:pPr>
        <w:tabs>
          <w:tab w:val="right" w:pos="9026" w:leader="dot"/>
        </w:tabs>
        <w:spacing w:after="40" w:line="300"/>
        <w:ind w:left="0" w:firstLine="0"/>
        <w:jc w:val="left"/>
      </w:pPr>
      <w:r>
        <w:rPr>
          <w:b w:val="false"/>
          <w:bCs w:val="false"/>
        </w:rPr>
        <w:t xml:space="preserve">Figura 6. Fondul de rulment, necesarul de fond de rulment și trezoreria netă (mii lei)</w:t>
      </w:r>
      <w:r>
        <w:t xml:space="preserve">	13</w:t>
      </w:r>
    </w:p>
    <w:p>
      <w:pPr>
        <w:tabs>
          <w:tab w:val="right" w:pos="9026" w:leader="dot"/>
        </w:tabs>
        <w:spacing w:after="40" w:line="300"/>
        <w:ind w:left="0" w:firstLine="0"/>
        <w:jc w:val="left"/>
      </w:pPr>
      <w:r>
        <w:rPr>
          <w:b w:val="false"/>
          <w:bCs w:val="false"/>
        </w:rPr>
        <w:t xml:space="preserve">Figura 7. Evoluția ratelor de rentabilitate, 2023–2025 (%)</w:t>
      </w:r>
      <w:r>
        <w:t xml:space="preserve">	14</w:t>
      </w:r>
    </w:p>
    <w:p>
      <w:pPr>
        <w:tabs>
          <w:tab w:val="right" w:pos="9026" w:leader="dot"/>
        </w:tabs>
        <w:spacing w:after="40" w:line="300"/>
        <w:ind w:left="0" w:firstLine="0"/>
        <w:jc w:val="left"/>
      </w:pPr>
      <w:r>
        <w:rPr>
          <w:b w:val="false"/>
          <w:bCs w:val="false"/>
        </w:rPr>
        <w:t xml:space="preserve">Figura 8. Duratele de rotație a stocurilor, creanțelor și furnizorilor (zile)</w:t>
      </w:r>
      <w:r>
        <w:t xml:space="preserve">	14</w:t>
      </w:r>
    </w:p>
    <w:p>
      <w:pPr>
        <w:tabs>
          <w:tab w:val="right" w:pos="9026" w:leader="dot"/>
        </w:tabs>
        <w:spacing w:after="40" w:line="300"/>
        <w:ind w:left="0" w:firstLine="0"/>
        <w:jc w:val="left"/>
      </w:pPr>
      <w:r>
        <w:rPr>
          <w:b w:val="false"/>
          <w:bCs w:val="false"/>
        </w:rPr>
        <w:t xml:space="preserve">Figura 9. Diagnosticul financiar al SC Exemplu SRL</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Indicatorii folosiți în analiză</w:t>
      </w:r>
      <w:r>
        <w:t xml:space="preserve">	8</w:t>
      </w:r>
    </w:p>
    <w:p>
      <w:pPr>
        <w:tabs>
          <w:tab w:val="right" w:pos="9026" w:leader="dot"/>
        </w:tabs>
        <w:spacing w:after="40" w:line="300"/>
        <w:ind w:left="0" w:firstLine="0"/>
        <w:jc w:val="left"/>
      </w:pPr>
      <w:r>
        <w:rPr>
          <w:b w:val="false"/>
          <w:bCs w:val="false"/>
        </w:rPr>
        <w:t xml:space="preserve">Tabelul 2. Date generale despre SC Exemplu SRL (societate fictivă)</w:t>
      </w:r>
      <w:r>
        <w:t xml:space="preserve">	9</w:t>
      </w:r>
    </w:p>
    <w:p>
      <w:pPr>
        <w:tabs>
          <w:tab w:val="right" w:pos="9026" w:leader="dot"/>
        </w:tabs>
        <w:spacing w:after="40" w:line="300"/>
        <w:ind w:left="0" w:firstLine="0"/>
        <w:jc w:val="left"/>
      </w:pPr>
      <w:r>
        <w:rPr>
          <w:b w:val="false"/>
          <w:bCs w:val="false"/>
        </w:rPr>
        <w:t xml:space="preserve">Tabelul 3. Bilanțul simplificat al SC Exemplu SRL, 2023–2025 (mii lei)</w:t>
      </w:r>
      <w:r>
        <w:t xml:space="preserve">	10</w:t>
      </w:r>
    </w:p>
    <w:p>
      <w:pPr>
        <w:tabs>
          <w:tab w:val="right" w:pos="9026" w:leader="dot"/>
        </w:tabs>
        <w:spacing w:after="40" w:line="300"/>
        <w:ind w:left="0" w:firstLine="0"/>
        <w:jc w:val="left"/>
      </w:pPr>
      <w:r>
        <w:rPr>
          <w:b w:val="false"/>
          <w:bCs w:val="false"/>
        </w:rPr>
        <w:t xml:space="preserve">Tabelul 4. Contul de profit și pierdere simplificat, 2023–2025 (mii lei)</w:t>
      </w:r>
      <w:r>
        <w:t xml:space="preserve">	11</w:t>
      </w:r>
    </w:p>
    <w:p>
      <w:pPr>
        <w:tabs>
          <w:tab w:val="right" w:pos="9026" w:leader="dot"/>
        </w:tabs>
        <w:spacing w:after="40" w:line="300"/>
        <w:ind w:left="0" w:firstLine="0"/>
        <w:jc w:val="left"/>
      </w:pPr>
      <w:r>
        <w:rPr>
          <w:b w:val="false"/>
          <w:bCs w:val="false"/>
        </w:rPr>
        <w:t xml:space="preserve">Tabelul 5. Fondul de rulment, necesarul de fond de rulment și trezoreria netă (mii lei)</w:t>
      </w:r>
      <w:r>
        <w:t xml:space="preserve">	12</w:t>
      </w:r>
    </w:p>
    <w:p>
      <w:pPr>
        <w:tabs>
          <w:tab w:val="right" w:pos="9026" w:leader="dot"/>
        </w:tabs>
        <w:spacing w:after="40" w:line="300"/>
        <w:ind w:left="0" w:firstLine="0"/>
        <w:jc w:val="left"/>
      </w:pPr>
      <w:r>
        <w:rPr>
          <w:b w:val="false"/>
          <w:bCs w:val="false"/>
        </w:rPr>
        <w:t xml:space="preserve">Tabelul 6. Indicatorii de lichiditate, solvabilitate și rentabilitate, 2023–2025</w:t>
      </w:r>
      <w:r>
        <w:t xml:space="preserve">	13</w:t>
      </w:r>
    </w:p>
    <w:p>
      <w:pPr>
        <w:tabs>
          <w:tab w:val="right" w:pos="9026" w:leader="dot"/>
        </w:tabs>
        <w:spacing w:after="40" w:line="300"/>
        <w:ind w:left="0" w:firstLine="0"/>
        <w:jc w:val="left"/>
      </w:pPr>
      <w:r>
        <w:rPr>
          <w:b w:val="false"/>
          <w:bCs w:val="false"/>
        </w:rPr>
        <w:t xml:space="preserve">Tabelul 7. Duratele de rotație, 2023–2025 (zile)</w:t>
      </w:r>
      <w:r>
        <w:t xml:space="preserve">	14</w:t>
      </w:r>
    </w:p>
    <w:p>
      <w:pPr>
        <w:tabs>
          <w:tab w:val="right" w:pos="9026" w:leader="dot"/>
        </w:tabs>
        <w:spacing w:after="40" w:line="300"/>
        <w:ind w:left="0" w:firstLine="0"/>
        <w:jc w:val="left"/>
      </w:pPr>
      <w:r>
        <w:rPr>
          <w:b w:val="false"/>
          <w:bCs w:val="false"/>
        </w:rPr>
        <w:t xml:space="preserve">Tabelul 8. Recomandările autorului pentru SC Exemplu SRL</w:t>
      </w:r>
      <w:r>
        <w:t xml:space="preserve">	15</w:t>
      </w:r>
    </w:p>
    <w:p>
      <w:pPr>
        <w:pStyle w:val="Heading1"/>
        <w:pageBreakBefore/>
      </w:pPr>
      <w:commentRangeStart w:id="3"/>
      <w:r>
        <w:t xml:space="preserve">Rezumat</w:t>
      </w:r>
      <w:commentRangeEnd w:id="3"/>
      <w:r>
        <w:commentReference w:id="3"/>
      </w:r>
    </w:p>
    <w:p>
      <w:r>
        <w:t xml:space="preserve">Lucrarea analizează situațiile financiare ale SC Exemplu SRL, o societate fictivă de comerț cu materiale de construcții, pentru perioada 2023–2025. Pornind de la bilanțul și contul de profit și pierdere retratate, am calculat fondul de rulment, necesarul de fond de rulment și trezoreria netă, precum și indicatori de lichiditate, solvabilitate, rentabilitate și rotație. Rezultatele arată că, deși cifra de afaceri a crescut cu 26,4%, profitul net a scăzut în 2025, iar rentabilitatea capitalurilor proprii s-a înjumătățit. Cauza principală este creșterea duratei de încasare a creanțelor la 82 de zile, finanțată din credite pe termen scurt, care a făcut trezoreria netă negativă. Propunem o politică de credit-client mai strictă, optimizarea stocurilor și o finanțare corelată cu necesarul de fond de rulment, fiecare cu un indicator-țintă.</w:t>
      </w:r>
    </w:p>
    <w:p>
      <w:pPr>
        <w:spacing w:after="400"/>
        <w:ind w:firstLine="0"/>
        <w:jc w:val="left"/>
      </w:pPr>
      <w:r>
        <w:rPr>
          <w:b/>
          <w:bCs/>
        </w:rPr>
        <w:t xml:space="preserve">Cuvinte-cheie:</w:t>
      </w:r>
      <w:r>
        <w:t xml:space="preserve"> situații financiare, analiză financiară, echilibru financiar, lichiditate, rentabilitate, creanțe</w:t>
      </w:r>
    </w:p>
    <w:p>
      <w:pPr>
        <w:spacing w:after="200"/>
        <w:ind w:firstLine="0"/>
        <w:jc w:val="center"/>
      </w:pPr>
      <w:r>
        <w:rPr>
          <w:b/>
          <w:bCs/>
          <w:color w:val="16233F"/>
          <w:sz w:val="26"/>
          <w:szCs w:val="26"/>
        </w:rPr>
        <w:t xml:space="preserve">Abstract</w:t>
      </w:r>
    </w:p>
    <w:p>
      <w:r>
        <w:t xml:space="preserve">This thesis analyses the financial statements of SC Exemplu SRL, a fictitious building materials wholesaler, for the period 2023–2025. Based on the restated balance sheet and income statement, it calculates working capital, working capital requirement and net cash, together with liquidity, solvency, profitability and turnover ratios. The results show that although revenue grew by 26.4%, net profit fell in 2025 and return on equity was halved. The main cause is the increase in the collection period of receivables to 82 days, financed with short-term loans, which turned net cash negative. The thesis proposes a stricter customer credit policy, inventory optimisation and financing matched to the working capital requirement, each with a target indicator.</w:t>
      </w:r>
    </w:p>
    <w:p>
      <w:pPr>
        <w:ind w:firstLine="0"/>
        <w:jc w:val="left"/>
      </w:pPr>
      <w:r>
        <w:rPr>
          <w:b/>
          <w:bCs/>
        </w:rPr>
        <w:t xml:space="preserve">Keywords:</w:t>
      </w:r>
      <w:r>
        <w:t xml:space="preserve"> financial statements, financial analysis, financial balance, liquidity, profitability, receivables</w:t>
      </w:r>
    </w:p>
    <w:p>
      <w:pPr>
        <w:pStyle w:val="Heading1"/>
        <w:pageBreakBefore/>
      </w:pPr>
      <w:commentRangeStart w:id="4"/>
      <w:r>
        <w:t xml:space="preserve">Introducere</w:t>
      </w:r>
      <w:commentRangeEnd w:id="4"/>
      <w:r>
        <w:commentReference w:id="4"/>
      </w:r>
    </w:p>
    <w:p>
      <w:r>
        <w:t xml:space="preserve">Situațiile financiare anuale sunt principala sursă de informații despre poziția financiară și performanța unei firme. Pentru manageri, bănci și furnizori, ele arată dacă firma își poate plăti datoriile și dacă activitatea este rentabilă.</w:t>
      </w:r>
    </w:p>
    <w:p>
      <w:r>
        <w:t xml:space="preserve">Lucrarea analizează situațiile financiare ale SC Exemplu SRL (societate fictivă), o firmă de comerț cu materiale de construcții, pentru perioada 2023–2025. </w:t>
      </w:r>
      <w:r>
        <w:rPr>
          <w:b/>
          <w:bCs/>
        </w:rPr>
        <w:t xml:space="preserve">Întrebarea de cercetare</w:t>
      </w:r>
      <w:r>
        <w:t xml:space="preserve"> este: de ce a scăzut profitul net în 2025, deși cifra de afaceri a continuat să crească? Obiectivele sunt:</w:t>
      </w:r>
    </w:p>
    <w:p>
      <w:pPr>
        <w:tabs>
          <w:tab w:val="left" w:pos="709"/>
        </w:tabs>
        <w:spacing w:after="60"/>
        <w:ind w:left="709" w:hanging="357" w:firstLine="0"/>
        <w:jc w:val="left"/>
      </w:pPr>
      <w:r>
        <w:t xml:space="preserve">1.	</w:t>
      </w:r>
      <w:r>
        <w:t xml:space="preserve">prezentarea cadrului legislativ și a metodelor de analiză a situațiilor financiare;</w:t>
      </w:r>
    </w:p>
    <w:p>
      <w:pPr>
        <w:tabs>
          <w:tab w:val="left" w:pos="709"/>
        </w:tabs>
        <w:spacing w:after="60"/>
        <w:ind w:left="709" w:hanging="357" w:firstLine="0"/>
        <w:jc w:val="left"/>
      </w:pPr>
      <w:r>
        <w:t xml:space="preserve">2.	</w:t>
      </w:r>
      <w:r>
        <w:t xml:space="preserve">analiza bilanțului și a contului de profit și pierdere pe trei ani;</w:t>
      </w:r>
    </w:p>
    <w:p>
      <w:pPr>
        <w:tabs>
          <w:tab w:val="left" w:pos="709"/>
        </w:tabs>
        <w:spacing w:after="60"/>
        <w:ind w:left="709" w:hanging="357" w:firstLine="0"/>
        <w:jc w:val="left"/>
      </w:pPr>
      <w:r>
        <w:t xml:space="preserve">3.	</w:t>
      </w:r>
      <w:r>
        <w:t xml:space="preserve">calculul și interpretarea indicatorilor de echilibru, lichiditate, solvabilitate, rentabilitate și rotație;</w:t>
      </w:r>
    </w:p>
    <w:p>
      <w:pPr>
        <w:tabs>
          <w:tab w:val="left" w:pos="709"/>
        </w:tabs>
        <w:spacing w:after="60"/>
        <w:ind w:left="709" w:hanging="357" w:firstLine="0"/>
        <w:jc w:val="left"/>
      </w:pPr>
      <w:commentRangeStart w:id="5"/>
      <w:r>
        <w:t xml:space="preserve">4.	</w:t>
      </w:r>
      <w:r>
        <w:t xml:space="preserve">formularea unui diagnostic și a unor recomandări pentru conducerea firmei.</w:t>
      </w:r>
      <w:commentRangeEnd w:id="5"/>
      <w:r>
        <w:commentReference w:id="5"/>
      </w:r>
    </w:p>
    <w:p>
      <w:pPr>
        <w:pStyle w:val="Heading1"/>
        <w:pageBreakBefore/>
      </w:pPr>
      <w:commentRangeStart w:id="6"/>
      <w:r>
        <w:t xml:space="preserve">Capitolul 1. Cadrul legislativ și metodologic al analizei financiare</w:t>
      </w:r>
      <w:commentRangeEnd w:id="6"/>
      <w:r>
        <w:commentReference w:id="6"/>
      </w:r>
    </w:p>
    <w:p>
      <w:pPr>
        <w:pStyle w:val="Heading2"/>
        <w:keepNext/>
      </w:pPr>
      <w:r>
        <w:t xml:space="preserve">1.1. Situațiile financiare anuale</w:t>
      </w:r>
    </w:p>
    <w:p>
      <w:r>
        <w:t xml:space="preserve">În România, obligația de a ține contabilitatea și de a întocmi situații financiare anuale este prevăzută de Legea contabilității nr. 82/1991, iar conținutul lor, pentru entitățile care nu aplică IFRS, este stabilit de OMFP nr. 1802/2014. Componentele situațiilor financiare sunt prezentate în Figura 1; entitățile mici și microentitățile întocmesc un set simplificat, format din bilanț, contul de profit și pierdere și note explicative.</w:t>
      </w:r>
    </w:p>
    <w:p>
      <w:pPr>
        <w:keepNext/>
        <w:spacing w:after="60" w:before="160" w:line="240"/>
        <w:ind w:firstLine="0"/>
        <w:jc w:val="center"/>
      </w:pPr>
      <w:r>
        <w:drawing>
          <wp:inline distT="0" distB="0" distL="0" distR="0">
            <wp:extent cx="5762625" cy="2924175"/>
            <wp:effectExtent t="0" r="0" b="0" l="0"/>
            <wp:docPr id="1" name="Figura 1" descr="Situațiile financiare anuale și informațiile folosite în analiză" title="Situațiile financiare anuale și informațiile folosite în analiz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Situațiile financiare anuale și informațiile folosite în analiză</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2"/>
        <w:keepNext/>
      </w:pPr>
      <w:r>
        <w:t xml:space="preserve">1.2. Metodele de analiză</w:t>
      </w:r>
    </w:p>
    <w:p>
      <w:r>
        <w:t xml:space="preserve">Analiza pornește de la bilanțul și contul de profit și pierdere retratate (posturi grupate după lichiditate și exigibilitate) și urmează etapele din Figura 2 (Ionescu, 2021).</w:t>
      </w:r>
    </w:p>
    <w:p>
      <w:pPr>
        <w:keepNext/>
        <w:spacing w:after="60" w:before="160" w:line="240"/>
        <w:ind w:firstLine="0"/>
        <w:jc w:val="center"/>
      </w:pPr>
      <w:r>
        <w:drawing>
          <wp:inline distT="0" distB="0" distL="0" distR="0">
            <wp:extent cx="5762625" cy="2009775"/>
            <wp:effectExtent t="0" r="0" b="0" l="0"/>
            <wp:docPr id="2" name="Figura 2" descr="Etapele analizei situațiilor financiare" title="Etapele analizei situațiilor financi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analizei situațiilor financiare</w:t>
      </w:r>
    </w:p>
    <w:p>
      <w:pPr>
        <w:spacing w:after="200" w:line="240"/>
        <w:ind w:firstLine="0"/>
        <w:jc w:val="center"/>
      </w:pPr>
      <w:r>
        <w:rPr>
          <w:i/>
          <w:iCs/>
          <w:color w:val="7A8191"/>
          <w:sz w:val="18"/>
          <w:szCs w:val="18"/>
        </w:rPr>
        <w:t xml:space="preserve">Sursa: Prelucrare proprie.</w:t>
      </w:r>
    </w:p>
    <w:p>
      <w:r>
        <w:t xml:space="preserve">Echilibrul financiar se analizează prin fondul de rulment (FR), necesarul de fond de rulment (NFR) și trezoreria netă (TN):</w:t>
      </w:r>
    </w:p>
    <w:p>
      <w:pPr>
        <w:spacing w:after="160" w:before="120"/>
        <w:ind w:firstLine="0"/>
        <w:jc w:val="center"/>
      </w:pPr>
      <w:r>
        <w:rPr>
          <w:i/>
          <w:iCs/>
        </w:rPr>
        <w:t xml:space="preserve">FR = Capitaluri proprii + Datorii pe termen lung − Active imobilizate        (1.1)</w:t>
      </w:r>
    </w:p>
    <w:p>
      <w:pPr>
        <w:spacing w:after="160" w:before="120"/>
        <w:ind w:firstLine="0"/>
        <w:jc w:val="center"/>
      </w:pPr>
      <w:r>
        <w:rPr>
          <w:i/>
          <w:iCs/>
        </w:rPr>
        <w:t xml:space="preserve">NFR = Stocuri + Creanțe − Datorii de exploatare;     TN = FR − NFR        (1.2)</w:t>
      </w:r>
    </w:p>
    <w:p>
      <w:r>
        <w:t xml:space="preserve">Indicatorii calculați în Capitolul 3 sunt sintetizați în Tabelul 1. De exemplu, lichiditatea curentă și rentabilitatea capitalurilor proprii se calculează astfel (Marin, 2022):</w:t>
      </w:r>
    </w:p>
    <w:p>
      <w:pPr>
        <w:spacing w:after="160" w:before="120"/>
        <w:ind w:firstLine="0"/>
        <w:jc w:val="center"/>
      </w:pPr>
      <w:r>
        <w:rPr>
          <w:i/>
          <w:iCs/>
        </w:rPr>
        <w:t xml:space="preserve">Lc = Active circulante / Datorii curente;     ROE = Profit net / Capitaluri proprii × 100        (1.3)</w:t>
      </w:r>
    </w:p>
    <w:p>
      <w:pPr>
        <w:keepNext/>
        <w:spacing w:after="80" w:before="200" w:line="260"/>
        <w:ind w:firstLine="0"/>
        <w:jc w:val="left"/>
      </w:pPr>
      <w:r>
        <w:rPr>
          <w:b/>
          <w:bCs/>
          <w:sz w:val="22"/>
          <w:szCs w:val="22"/>
        </w:rPr>
        <w:t xml:space="preserve">Tabelul 1.</w:t>
      </w:r>
      <w:r>
        <w:rPr>
          <w:sz w:val="22"/>
          <w:szCs w:val="22"/>
        </w:rPr>
        <w:t xml:space="preserve"> Indicatorii folosiți în analiză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35"/>
        <w:gridCol w:w="2379"/>
        <w:gridCol w:w="3271"/>
        <w:gridCol w:w="1784"/>
      </w:tblGrid>
      <w:tr>
        <w:trPr>
          <w:tblHeader/>
        </w:trPr>
        <w:tc>
          <w:tcPr>
            <w:tcW w:type="dxa" w:w="16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w:t>
            </w:r>
          </w:p>
        </w:tc>
        <w:tc>
          <w:tcPr>
            <w:tcW w:type="dxa" w:w="23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32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Formula</w:t>
            </w:r>
          </w:p>
        </w:tc>
        <w:tc>
          <w:tcPr>
            <w:tcW w:type="dxa" w:w="17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Nivel orientativ</w:t>
            </w:r>
          </w:p>
        </w:tc>
      </w:tr>
      <w:tr>
        <w:trPr>
          <w:cantSplit/>
        </w:trPr>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Lichiditate</w:t>
            </w:r>
          </w:p>
        </w:tc>
        <w:tc>
          <w:tcPr>
            <w:tcW w:type="dxa" w:w="2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Lichiditatea curentă</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Active circulante / Datorii curente</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 jur de 2</w:t>
            </w:r>
          </w:p>
        </w:tc>
      </w:tr>
      <w:tr>
        <w:trPr>
          <w:cantSplit/>
        </w:trPr>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Lichiditate</w:t>
            </w:r>
          </w:p>
        </w:tc>
        <w:tc>
          <w:tcPr>
            <w:tcW w:type="dxa" w:w="2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Lichiditatea rapidă</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(Active circulante − Stocuri) / Datorii curente</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 jur de 1</w:t>
            </w:r>
          </w:p>
        </w:tc>
      </w:tr>
      <w:tr>
        <w:trPr>
          <w:cantSplit/>
        </w:trPr>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Solvabilitate</w:t>
            </w:r>
          </w:p>
        </w:tc>
        <w:tc>
          <w:tcPr>
            <w:tcW w:type="dxa" w:w="2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Gradul de îndatorare</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Datorii totale / Total active × 100</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50–60%</w:t>
            </w:r>
          </w:p>
        </w:tc>
      </w:tr>
      <w:tr>
        <w:trPr>
          <w:cantSplit/>
        </w:trPr>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Solvabilitate</w:t>
            </w:r>
          </w:p>
        </w:tc>
        <w:tc>
          <w:tcPr>
            <w:tcW w:type="dxa" w:w="2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Solvabilitatea generală</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 active / Datorii totale</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peste 1,5</w:t>
            </w:r>
          </w:p>
        </w:tc>
      </w:tr>
      <w:tr>
        <w:trPr>
          <w:cantSplit/>
        </w:trPr>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Rentabilitate</w:t>
            </w:r>
          </w:p>
        </w:tc>
        <w:tc>
          <w:tcPr>
            <w:tcW w:type="dxa" w:w="2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ROA</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Profit net / Total active × 100</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comparat cu sectorul</w:t>
            </w:r>
          </w:p>
        </w:tc>
      </w:tr>
      <w:tr>
        <w:trPr>
          <w:cantSplit/>
        </w:trPr>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Rentabilitate</w:t>
            </w:r>
          </w:p>
        </w:tc>
        <w:tc>
          <w:tcPr>
            <w:tcW w:type="dxa" w:w="2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ROE</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Profit net / Capitaluri proprii × 100</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peste dobânda bancară</w:t>
            </w:r>
          </w:p>
        </w:tc>
      </w:tr>
      <w:tr>
        <w:trPr>
          <w:cantSplit/>
        </w:trPr>
        <w:tc>
          <w:tcPr>
            <w:tcW w:type="dxa" w:w="16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Rentabilitate</w:t>
            </w:r>
          </w:p>
        </w:tc>
        <w:tc>
          <w:tcPr>
            <w:tcW w:type="dxa" w:w="2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Marja netă</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Profit net / Cifra de afaceri × 100</w:t>
            </w:r>
          </w:p>
        </w:tc>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comparată cu sectorul</w:t>
            </w:r>
          </w:p>
        </w:tc>
      </w:tr>
      <w:tr>
        <w:trPr>
          <w:cantSplit/>
        </w:trPr>
        <w:tc>
          <w:tcPr>
            <w:tcW w:type="dxa" w:w="16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Activitate</w:t>
            </w:r>
          </w:p>
        </w:tc>
        <w:tc>
          <w:tcPr>
            <w:tcW w:type="dxa" w:w="2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Durata de rotație</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Sold / Cifra de afaceri × 365 (zile)</w:t>
            </w:r>
          </w:p>
        </w:tc>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cât mai mică</w:t>
            </w:r>
          </w:p>
        </w:tc>
      </w:tr>
    </w:tbl>
    <w:p>
      <w:pPr>
        <w:spacing w:after="200" w:before="40" w:line="240"/>
        <w:ind w:firstLine="0"/>
        <w:jc w:val="left"/>
      </w:pPr>
      <w:r>
        <w:rPr>
          <w:i/>
          <w:iCs/>
          <w:color w:val="7A8191"/>
          <w:sz w:val="18"/>
          <w:szCs w:val="18"/>
        </w:rPr>
        <w:t xml:space="preserve">Sursa: Sinteză proprie după manualele de analiză financiară (Ionescu, 2021; Marin, 2022). Nivelurile orientative variază după sector.</w:t>
      </w:r>
    </w:p>
    <w:p>
      <w:pPr>
        <w:pStyle w:val="Heading1"/>
        <w:pageBreakBefore/>
      </w:pPr>
      <w:commentRangeStart w:id="8"/>
      <w:r>
        <w:t xml:space="preserve">Capitolul 2. Prezentarea SC Exemplu SRL</w:t>
      </w:r>
      <w:commentRangeEnd w:id="8"/>
      <w:r>
        <w:commentReference w:id="8"/>
      </w:r>
    </w:p>
    <w:p>
      <w:r>
        <w:t xml:space="preserve">SC Exemplu SRL (societate fictivă) comercializează en-gros materiale de construcții în regiunea de Sud. Datele generale sunt prezentate în Tabelul 2. Firma întocmește situații financiare în formatul pentru entități mici, iar stocurile sunt evaluate la ieșire prin metoda FIFO.</w:t>
      </w:r>
    </w:p>
    <w:p>
      <w:pPr>
        <w:keepNext/>
        <w:spacing w:after="80" w:before="200" w:line="260"/>
        <w:ind w:firstLine="0"/>
        <w:jc w:val="left"/>
      </w:pPr>
      <w:r>
        <w:rPr>
          <w:b/>
          <w:bCs/>
          <w:sz w:val="22"/>
          <w:szCs w:val="22"/>
        </w:rPr>
        <w:t xml:space="preserve">Tabelul 2.</w:t>
      </w:r>
      <w:r>
        <w:rPr>
          <w:sz w:val="22"/>
          <w:szCs w:val="22"/>
        </w:rPr>
        <w:t xml:space="preserve"> Date generale despre SC Exemplu SRL (societate fictivă)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45"/>
        <w:gridCol w:w="6425"/>
      </w:tblGrid>
      <w:tr>
        <w:trPr>
          <w:tblHeader/>
        </w:trPr>
        <w:tc>
          <w:tcPr>
            <w:tcW w:type="dxa" w:w="26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w:t>
            </w:r>
          </w:p>
        </w:tc>
        <w:tc>
          <w:tcPr>
            <w:tcW w:type="dxa" w:w="64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Descriere</w:t>
            </w:r>
          </w:p>
        </w:tc>
      </w:tr>
      <w:tr>
        <w:trPr>
          <w:cantSplit/>
        </w:trPr>
        <w:tc>
          <w:tcPr>
            <w:tcW w:type="dxa" w:w="26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Forma juridică</w:t>
            </w:r>
          </w:p>
        </w:tc>
        <w:tc>
          <w:tcPr>
            <w:tcW w:type="dxa" w:w="64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Societate cu răspundere limitată, capital social 200 000 lei</w:t>
            </w:r>
          </w:p>
        </w:tc>
      </w:tr>
      <w:tr>
        <w:trPr>
          <w:cantSplit/>
        </w:trPr>
        <w:tc>
          <w:tcPr>
            <w:tcW w:type="dxa" w:w="26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Activitatea principală</w:t>
            </w:r>
          </w:p>
        </w:tc>
        <w:tc>
          <w:tcPr>
            <w:tcW w:type="dxa" w:w="64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Comerț cu ridicata cu materiale de construcții</w:t>
            </w:r>
          </w:p>
        </w:tc>
      </w:tr>
      <w:tr>
        <w:trPr>
          <w:cantSplit/>
        </w:trPr>
        <w:tc>
          <w:tcPr>
            <w:tcW w:type="dxa" w:w="26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 mediu de salariați</w:t>
            </w:r>
          </w:p>
        </w:tc>
        <w:tc>
          <w:tcPr>
            <w:tcW w:type="dxa" w:w="64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38 (2023), 42 (2024), 46 (2025)</w:t>
            </w:r>
          </w:p>
        </w:tc>
      </w:tr>
      <w:tr>
        <w:trPr>
          <w:cantSplit/>
        </w:trPr>
        <w:tc>
          <w:tcPr>
            <w:tcW w:type="dxa" w:w="26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Situații financiare</w:t>
            </w:r>
          </w:p>
        </w:tc>
        <w:tc>
          <w:tcPr>
            <w:tcW w:type="dxa" w:w="64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Format pentru entități mici, conform OMFP nr. 1802/2014</w:t>
            </w:r>
          </w:p>
        </w:tc>
      </w:tr>
      <w:tr>
        <w:trPr>
          <w:cantSplit/>
        </w:trPr>
        <w:tc>
          <w:tcPr>
            <w:tcW w:type="dxa" w:w="26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 de contabilitate</w:t>
            </w:r>
          </w:p>
        </w:tc>
        <w:tc>
          <w:tcPr>
            <w:tcW w:type="dxa" w:w="64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 comercial de contabilitate, cu modul de gestiune a stocurilor</w:t>
            </w:r>
          </w:p>
        </w:tc>
      </w:tr>
      <w:tr>
        <w:trPr>
          <w:cantSplit/>
        </w:trPr>
        <w:tc>
          <w:tcPr>
            <w:tcW w:type="dxa" w:w="26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Sursa datelor</w:t>
            </w:r>
          </w:p>
        </w:tc>
        <w:tc>
          <w:tcPr>
            <w:tcW w:type="dxa" w:w="64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Bilanțul și contul de profit și pierdere 2023–2025 (cifre simulate)</w:t>
            </w:r>
          </w:p>
        </w:tc>
      </w:tr>
    </w:tbl>
    <w:p>
      <w:pPr>
        <w:spacing w:after="200" w:before="40" w:line="240"/>
        <w:ind w:firstLine="0"/>
        <w:jc w:val="left"/>
      </w:pPr>
      <w:r>
        <w:rPr>
          <w:i/>
          <w:iCs/>
          <w:color w:val="7A8191"/>
          <w:sz w:val="18"/>
          <w:szCs w:val="18"/>
        </w:rPr>
        <w:t xml:space="preserve">Sursa: Date fictive, construite pentru exemplu.</w:t>
      </w:r>
    </w:p>
    <w:p>
      <w:r>
        <w:t xml:space="preserve">Principalele repere din evoluția firmei sunt prezentate în Figura 3. Creșterea din 2023–2025 a fost susținută de deschiderea celui de-al doilea punct de lucru, ceea ce explică majorarea activelor imobilizate și a stocurilor.</w:t>
      </w:r>
    </w:p>
    <w:p>
      <w:pPr>
        <w:keepNext/>
        <w:spacing w:after="60" w:before="160" w:line="240"/>
        <w:ind w:firstLine="0"/>
        <w:jc w:val="center"/>
      </w:pPr>
      <w:r>
        <w:drawing>
          <wp:inline distT="0" distB="0" distL="0" distR="0">
            <wp:extent cx="5762625" cy="2190750"/>
            <wp:effectExtent t="0" r="0" b="0" l="0"/>
            <wp:docPr id="3" name="Figura 3" descr="Repere din activitatea SC Exemplu SRL (date fictive)" title="Repere din activitatea SC Exemplu SRL (date fi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1907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Repere din activitatea SC Exemplu SRL (date fictive)</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1"/>
        <w:pageBreakBefore/>
      </w:pPr>
      <w:commentRangeStart w:id="10"/>
      <w:r>
        <w:t xml:space="preserve">Capitolul 3. Analiza situației financiare a SC Exemplu SRL</w:t>
      </w:r>
      <w:commentRangeEnd w:id="10"/>
      <w:r>
        <w:commentReference w:id="10"/>
      </w:r>
    </w:p>
    <w:p>
      <w:pPr>
        <w:pStyle w:val="Heading2"/>
        <w:keepNext/>
      </w:pPr>
      <w:r>
        <w:t xml:space="preserve">3.1. Analiza bilanțului</w:t>
      </w:r>
    </w:p>
    <w:p>
      <w:r>
        <w:t xml:space="preserve">Totalul activului a crescut cu 35,0% între 2023 și 2025, mai repede decât cifra de afaceri (+26,4%). Creșterea vine mai ales din creanțe (+86,4%) și stocuri (+61,1%), în timp ce disponibilitățile au scăzut aproape la jumătate (Tabelul 3). În pasiv, creditele bancare pe termen scurt s-au dublat.</w:t>
      </w:r>
    </w:p>
    <w:p>
      <w:pPr>
        <w:keepNext/>
        <w:spacing w:after="80" w:before="200" w:line="260"/>
        <w:ind w:firstLine="0"/>
        <w:jc w:val="left"/>
      </w:pPr>
      <w:r>
        <w:rPr>
          <w:b/>
          <w:bCs/>
          <w:sz w:val="22"/>
          <w:szCs w:val="22"/>
        </w:rPr>
        <w:t xml:space="preserve">Tabelul 3.</w:t>
      </w:r>
      <w:r>
        <w:rPr>
          <w:sz w:val="22"/>
          <w:szCs w:val="22"/>
        </w:rPr>
        <w:t xml:space="preserve"> Bilanțul simplificat al SC Exemplu SRL, 2023–2025 (mii lei)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753"/>
        <w:gridCol w:w="1251"/>
        <w:gridCol w:w="1251"/>
        <w:gridCol w:w="1251"/>
        <w:gridCol w:w="1563"/>
      </w:tblGrid>
      <w:tr>
        <w:trPr>
          <w:tblHeader/>
        </w:trPr>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Postul</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2023</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2024</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2025</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Δ 2025/2023</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Active imobilizate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2 400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2 700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2 850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+18,8%</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Stocuri</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900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1 150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1 450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+61,1%</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Creanțe comerciale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1 100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1 500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2 050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+86,4%</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Casa și conturi la bănci</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500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350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264</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−47,2%</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Active circulante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2 500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3 000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3 764</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+50,6%</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20"/>
                <w:szCs w:val="20"/>
              </w:rPr>
              <w:t xml:space="preserve">TOTAL ACTIV</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4 900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5 700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6 614</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20"/>
                <w:szCs w:val="20"/>
              </w:rPr>
              <w:t xml:space="preserve">+35,0%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Capitaluri proprii</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2 600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2 950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3 244</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+24,8%</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Datorii pe termen lung (peste 1 an)</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800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1 000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1 100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+37,5%</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Furnizori</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900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1 050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1 270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+41,1%</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Credite bancare pe termen scurt</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350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600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+100,0%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Alte datorii curente (salarii, taxe)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300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350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400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+33,3%</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20"/>
                <w:szCs w:val="20"/>
              </w:rPr>
              <w:t xml:space="preserve">Datorii curente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1 500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1 750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2 270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20"/>
                <w:szCs w:val="20"/>
              </w:rPr>
              <w:t xml:space="preserve">+51,3%</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TOTAL PASIV</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4 900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5 700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6 614</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+35,0%</w:t>
            </w:r>
          </w:p>
        </w:tc>
      </w:tr>
    </w:tbl>
    <w:p>
      <w:pPr>
        <w:spacing w:after="200" w:before="40" w:line="240"/>
        <w:ind w:firstLine="0"/>
        <w:jc w:val="left"/>
      </w:pPr>
      <w:r>
        <w:rPr>
          <w:i/>
          <w:iCs/>
          <w:color w:val="7A8191"/>
          <w:sz w:val="18"/>
          <w:szCs w:val="18"/>
        </w:rPr>
        <w:t xml:space="preserve">Sursa: Prelucrare proprie pe baza situațiilor financiare (cifre simulate).</w:t>
      </w:r>
    </w:p>
    <w:p>
      <w:r>
        <w:t xml:space="preserve">Ponderea creanțelor în total activ a urcat de la 22,4% la 31,0%, iar cea a disponibilităților a scăzut de la 10,2% la 4,0% (Figura 4). Firma vinde mai mult, dar încasează mai greu.</w:t>
      </w:r>
    </w:p>
    <w:p>
      <w:pPr>
        <w:keepNext/>
        <w:spacing w:after="60" w:before="160" w:line="240"/>
        <w:ind w:firstLine="0"/>
        <w:jc w:val="center"/>
      </w:pPr>
      <w:r>
        <w:drawing>
          <wp:inline distT="0" distB="0" distL="0" distR="0">
            <wp:extent cx="5486400" cy="2647950"/>
            <wp:effectExtent t="0" r="0" b="0" l="0"/>
            <wp:docPr id="4" name="Figura 4" descr="Structura activului, 2023–2025 (% din total activ)" title="Structura activului, 2023–2025 (% din total ac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Structura activului, 2023–2025 (% din total activ)</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3.2. Analiza contului de profit și pierdere</w:t>
      </w:r>
    </w:p>
    <w:p>
      <w:r>
        <w:t xml:space="preserve">Cheltuielile de exploatare au crescut mai repede (+31,3%) decât veniturile din exploatare (+26,0%), în special cele cu mărfurile (+31,4%) și cu personalul (+35,4%). În plus, cheltuielile cu dobânzile s-au mai mult decât dublat. De aceea rezultatul din exploatare a scăzut în 2025, iar profitul net s-a redus cu 44% față de 2024, la 294 mii lei (Tabelul 4, Figura 5).</w:t>
      </w:r>
    </w:p>
    <w:p>
      <w:pPr>
        <w:keepNext/>
        <w:spacing w:after="80" w:before="200" w:line="260"/>
        <w:ind w:firstLine="0"/>
        <w:jc w:val="left"/>
      </w:pPr>
      <w:r>
        <w:rPr>
          <w:b/>
          <w:bCs/>
          <w:sz w:val="22"/>
          <w:szCs w:val="22"/>
        </w:rPr>
        <w:t xml:space="preserve">Tabelul 4.</w:t>
      </w:r>
      <w:r>
        <w:rPr>
          <w:sz w:val="22"/>
          <w:szCs w:val="22"/>
        </w:rPr>
        <w:t xml:space="preserve"> Contul de profit și pierdere simplificat, 2023–2025 (mii lei)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753"/>
        <w:gridCol w:w="1251"/>
        <w:gridCol w:w="1251"/>
        <w:gridCol w:w="1251"/>
        <w:gridCol w:w="1563"/>
      </w:tblGrid>
      <w:tr>
        <w:trPr>
          <w:tblHeader/>
        </w:trPr>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Elementul</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2023</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2024</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2025</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Δ 2025/2023</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Cifra de afaceri netă</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7 200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8 300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9 100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+26,4%</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Alte venituri din exploatare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120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100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0,0%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Venituri din exploatare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7 300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8 420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9 200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+26,0%</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Cheltuieli cu mărfurile și materialele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4 680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5 480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6 150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+31,4%</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Cheltuieli cu personalul</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1 300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1 520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1 760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+35,4%</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Amortizare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240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270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300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+25,0%</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Alte cheltuieli de exploatare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420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435</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val="false"/>
                <w:bCs w:val="false"/>
                <w:sz w:val="20"/>
                <w:szCs w:val="20"/>
              </w:rPr>
              <w:t xml:space="preserve">510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val="false"/>
                <w:bCs w:val="false"/>
                <w:sz w:val="20"/>
                <w:szCs w:val="20"/>
              </w:rPr>
              <w:t xml:space="preserve">+21,4%</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20"/>
                <w:szCs w:val="20"/>
              </w:rPr>
              <w:t xml:space="preserve">Cheltuieli de exploatare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6 640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7 705</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bCs/>
                <w:sz w:val="20"/>
                <w:szCs w:val="20"/>
              </w:rPr>
              <w:t xml:space="preserve">8 720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bCs/>
                <w:sz w:val="20"/>
                <w:szCs w:val="20"/>
              </w:rPr>
              <w:t xml:space="preserve">+31,3%</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Rezultatul din exploatare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660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715</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480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−27,3%</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Cheltuieli cu dobânzile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60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90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130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+116,7%</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Rezultatul brut</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600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625</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350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−41,7%</w:t>
            </w:r>
          </w:p>
        </w:tc>
      </w:tr>
      <w:tr>
        <w:trPr>
          <w:cantSplit/>
        </w:trPr>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Impozitul pe profit (16%)</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96</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100</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center"/>
            </w:pPr>
            <w:r>
              <w:rPr>
                <w:b w:val="false"/>
                <w:bCs w:val="false"/>
                <w:sz w:val="20"/>
                <w:szCs w:val="20"/>
              </w:rPr>
              <w:t xml:space="preserve">56</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val="false"/>
              <w:spacing w:after="0" w:line="240"/>
              <w:ind w:firstLine="0"/>
              <w:jc w:val="left"/>
            </w:pPr>
            <w:r>
              <w:rPr>
                <w:b w:val="false"/>
                <w:bCs w:val="false"/>
                <w:sz w:val="20"/>
                <w:szCs w:val="20"/>
              </w:rPr>
              <w:t xml:space="preserve">−41,7%</w:t>
            </w:r>
          </w:p>
        </w:tc>
      </w:tr>
      <w:tr>
        <w:trPr>
          <w:cantSplit/>
        </w:trPr>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Profitul net</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504</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525</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center"/>
            </w:pPr>
            <w:r>
              <w:rPr>
                <w:b/>
                <w:bCs/>
                <w:sz w:val="20"/>
                <w:szCs w:val="20"/>
              </w:rPr>
              <w:t xml:space="preserve">294</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val="false"/>
              <w:spacing w:after="0" w:line="240"/>
              <w:ind w:firstLine="0"/>
              <w:jc w:val="left"/>
            </w:pPr>
            <w:r>
              <w:rPr>
                <w:b/>
                <w:bCs/>
                <w:sz w:val="20"/>
                <w:szCs w:val="20"/>
              </w:rPr>
              <w:t xml:space="preserve">−41,7%</w:t>
            </w:r>
          </w:p>
        </w:tc>
      </w:tr>
    </w:tbl>
    <w:p>
      <w:pPr>
        <w:spacing w:after="200" w:before="40" w:line="240"/>
        <w:ind w:firstLine="0"/>
        <w:jc w:val="left"/>
      </w:pPr>
      <w:r>
        <w:rPr>
          <w:i/>
          <w:iCs/>
          <w:color w:val="7A8191"/>
          <w:sz w:val="18"/>
          <w:szCs w:val="18"/>
        </w:rPr>
        <w:t xml:space="preserve">Sursa: Prelucrare proprie pe baza situațiilor financiare (cifre simulate).</w:t>
      </w:r>
    </w:p>
    <w:p>
      <w:pPr>
        <w:keepNext/>
        <w:spacing w:after="60" w:before="160" w:line="240"/>
        <w:ind w:firstLine="0"/>
        <w:jc w:val="center"/>
      </w:pPr>
      <w:r>
        <w:drawing>
          <wp:inline distT="0" distB="0" distL="0" distR="0">
            <wp:extent cx="5486400" cy="2647950"/>
            <wp:effectExtent t="0" r="0" b="0" l="0"/>
            <wp:docPr id="5" name="Figura 5" descr="Rezultatul din exploatare, rezultatul brut și profitul net, 2023–2025 (mii lei)" title="Rezultatul din exploatare, rezultatul brut și profitul net, 2023–2025 (mii 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Rezultatul din exploatare, rezultatul brut și profitul net, 2023–2025 (mii lei)</w:t>
      </w:r>
    </w:p>
    <w:p>
      <w:pPr>
        <w:spacing w:after="200" w:line="240"/>
        <w:ind w:firstLine="0"/>
        <w:jc w:val="center"/>
      </w:pPr>
      <w:r>
        <w:rPr>
          <w:i/>
          <w:iCs/>
          <w:color w:val="7A8191"/>
          <w:sz w:val="18"/>
          <w:szCs w:val="18"/>
        </w:rPr>
        <w:t xml:space="preserve">Sursa: Prelucrare proprie.</w:t>
      </w:r>
    </w:p>
    <w:p>
      <w:pPr>
        <w:pStyle w:val="Heading2"/>
        <w:keepNext/>
      </w:pPr>
      <w:r>
        <w:t xml:space="preserve">3.3. Echilibrul financiar</w:t>
      </w:r>
    </w:p>
    <w:p>
      <w:r>
        <w:t xml:space="preserve">Fondul de rulment este pozitiv și în creștere, deci activele imobilizate sunt finanțate integral din surse permanente. Necesarul de fond de rulment a crescut însă mai repede, din cauza creanțelor și a stocurilor, astfel că trezoreria netă a devenit negativă în 2025 (−336 mii lei): firma își finanțează o parte din ciclul de exploatare din credite pe termen scurt (Tabelul 5, Figura 6).</w:t>
      </w:r>
    </w:p>
    <w:p>
      <w:pPr>
        <w:keepNext/>
        <w:spacing w:after="80" w:before="200" w:line="260"/>
        <w:ind w:firstLine="0"/>
        <w:jc w:val="left"/>
      </w:pPr>
      <w:r>
        <w:rPr>
          <w:b/>
          <w:bCs/>
          <w:sz w:val="22"/>
          <w:szCs w:val="22"/>
        </w:rPr>
        <w:t xml:space="preserve">Tabelul 5.</w:t>
      </w:r>
      <w:r>
        <w:rPr>
          <w:sz w:val="22"/>
          <w:szCs w:val="22"/>
        </w:rPr>
        <w:t xml:space="preserve"> Fondul de rulment, necesarul de fond de rulment și trezoreria netă (mii lei)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449"/>
        <w:gridCol w:w="1540"/>
        <w:gridCol w:w="1540"/>
        <w:gridCol w:w="1540"/>
      </w:tblGrid>
      <w:tr>
        <w:trPr>
          <w:tblHeader/>
        </w:trPr>
        <w:tc>
          <w:tcPr>
            <w:tcW w:type="dxa" w:w="44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2023</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2024</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2025</w:t>
            </w:r>
          </w:p>
        </w:tc>
      </w:tr>
      <w:tr>
        <w:trPr>
          <w:cantSplit/>
        </w:trPr>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Fondul de rulment (FR)</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1 000</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1 250</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1 494</w:t>
            </w:r>
          </w:p>
        </w:tc>
      </w:tr>
      <w:tr>
        <w:trPr>
          <w:cantSplit/>
        </w:trPr>
        <w:tc>
          <w:tcPr>
            <w:tcW w:type="dxa" w:w="44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Necesarul de fond de rulment (NFR)</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1 250</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1 830</w:t>
            </w:r>
          </w:p>
        </w:tc>
      </w:tr>
      <w:tr>
        <w:trPr>
          <w:cantSplit/>
        </w:trPr>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Trezoreria netă (TN = FR − NFR)</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−336</w:t>
            </w:r>
          </w:p>
        </w:tc>
      </w:tr>
    </w:tbl>
    <w:p>
      <w:pPr>
        <w:spacing w:after="200" w:before="40" w:line="240"/>
        <w:ind w:firstLine="0"/>
        <w:jc w:val="left"/>
      </w:pPr>
      <w:r>
        <w:rPr>
          <w:i/>
          <w:iCs/>
          <w:color w:val="7A8191"/>
          <w:sz w:val="18"/>
          <w:szCs w:val="18"/>
        </w:rPr>
        <w:t xml:space="preserve">Sursa: Calcule proprii pe baza Tabelului 3. Verificare: TN = Casa − Credite pe termen scurt.</w:t>
      </w:r>
    </w:p>
    <w:p>
      <w:pPr>
        <w:keepNext/>
        <w:spacing w:after="60" w:before="160" w:line="240"/>
        <w:ind w:firstLine="0"/>
        <w:jc w:val="center"/>
      </w:pPr>
      <w:r>
        <w:drawing>
          <wp:inline distT="0" distB="0" distL="0" distR="0">
            <wp:extent cx="5486400" cy="2743200"/>
            <wp:effectExtent t="0" r="0" b="0" l="0"/>
            <wp:docPr id="6" name="Figura 6" descr="Fondul de rulment, necesarul de fond de rulment și trezoreria netă (mii lei)" title="Fondul de rulment, necesarul de fond de rulment și trezoreria netă (mii 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Fondul de rulment, necesarul de fond de rulment și trezoreria netă (mii lei)</w:t>
      </w:r>
    </w:p>
    <w:p>
      <w:pPr>
        <w:spacing w:after="200" w:line="240"/>
        <w:ind w:firstLine="0"/>
        <w:jc w:val="center"/>
      </w:pPr>
      <w:r>
        <w:rPr>
          <w:i/>
          <w:iCs/>
          <w:color w:val="7A8191"/>
          <w:sz w:val="18"/>
          <w:szCs w:val="18"/>
        </w:rPr>
        <w:t xml:space="preserve">Sursa: Prelucrare proprie.</w:t>
      </w:r>
    </w:p>
    <w:p>
      <w:pPr>
        <w:pStyle w:val="Heading2"/>
        <w:keepNext/>
      </w:pPr>
      <w:r>
        <w:t xml:space="preserve">3.4. Indicatorii de lichiditate, solvabilitate și rentabilitate</w:t>
      </w:r>
    </w:p>
    <w:p>
      <w:pPr>
        <w:keepNext/>
        <w:spacing w:after="80" w:before="200" w:line="260"/>
        <w:ind w:firstLine="0"/>
        <w:jc w:val="left"/>
      </w:pPr>
      <w:r>
        <w:rPr>
          <w:b/>
          <w:bCs/>
          <w:sz w:val="22"/>
          <w:szCs w:val="22"/>
        </w:rPr>
        <w:t xml:space="preserve">Tabelul 6.</w:t>
      </w:r>
      <w:r>
        <w:rPr>
          <w:sz w:val="22"/>
          <w:szCs w:val="22"/>
        </w:rPr>
        <w:t xml:space="preserve"> Indicatorii de lichiditate, solvabilitate și rentabilitate, 2023–2025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440"/>
        <w:gridCol w:w="1251"/>
        <w:gridCol w:w="1251"/>
        <w:gridCol w:w="1251"/>
        <w:gridCol w:w="1876"/>
      </w:tblGrid>
      <w:tr>
        <w:trPr>
          <w:tblHeader/>
        </w:trPr>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2023</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2024</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2025</w:t>
            </w:r>
          </w:p>
        </w:tc>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Tendința</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Lichiditatea curentă</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1,67</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1,71</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1,66</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stabilă</w:t>
            </w:r>
          </w:p>
        </w:tc>
      </w:tr>
      <w:tr>
        <w:trPr>
          <w:cantSplit/>
        </w:trPr>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Lichiditatea rapidă</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1,07</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1,06</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1,02</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ușoară scădere</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Gradul de îndatorare (%)</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46,9</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48,2</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51,0</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crește</w:t>
            </w:r>
          </w:p>
        </w:tc>
      </w:tr>
      <w:tr>
        <w:trPr>
          <w:cantSplit/>
        </w:trPr>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Solvabilitatea generală</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2,13</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2,07</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1,96</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scade</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ROA (%)</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10,3</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9,2</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scade puternic</w:t>
            </w:r>
          </w:p>
        </w:tc>
      </w:tr>
      <w:tr>
        <w:trPr>
          <w:cantSplit/>
        </w:trPr>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ROE (%)</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19,4</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17,8</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9,1</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scade puternic</w:t>
            </w:r>
          </w:p>
        </w:tc>
      </w:tr>
      <w:tr>
        <w:trPr>
          <w:cantSplit/>
        </w:trPr>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Marja netă (%)</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7,0</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6,3</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scade puternic</w:t>
            </w:r>
          </w:p>
        </w:tc>
      </w:tr>
    </w:tbl>
    <w:p>
      <w:pPr>
        <w:spacing w:after="200" w:before="40" w:line="240"/>
        <w:ind w:firstLine="0"/>
        <w:jc w:val="left"/>
      </w:pPr>
      <w:r>
        <w:rPr>
          <w:i/>
          <w:iCs/>
          <w:color w:val="7A8191"/>
          <w:sz w:val="18"/>
          <w:szCs w:val="18"/>
        </w:rPr>
        <w:t xml:space="preserve">Sursa: Calcule proprii pe baza Tabelelor 3 și 4 (solduri de la sfârșitul anului).</w:t>
      </w:r>
    </w:p>
    <w:p>
      <w:r>
        <w:t xml:space="preserve">Lichiditatea curentă rămâne în jur de 1,7, sub nivelul orientativ de 2, dar stabilă; lichiditatea rapidă este puțin peste 1. Gradul de îndatorare a trecut de 50% în 2025, iar solvabilitatea generală rămâne confortabilă (1,96). Problema principală este rentabilitatea: ROE a scăzut de la 19,4% la 9,1%, iar marja netă de la 7,0% la 3,2% (Tabelul 6, Figura 7).</w:t>
      </w:r>
    </w:p>
    <w:p>
      <w:pPr>
        <w:keepNext/>
        <w:spacing w:after="60" w:before="160" w:line="240"/>
        <w:ind w:firstLine="0"/>
        <w:jc w:val="center"/>
      </w:pPr>
      <w:r>
        <w:drawing>
          <wp:inline distT="0" distB="0" distL="0" distR="0">
            <wp:extent cx="5486400" cy="2562225"/>
            <wp:effectExtent t="0" r="0" b="0" l="0"/>
            <wp:docPr id="7" name="Figura 7" descr="Evoluția ratelor de rentabilitate, 2023–2025 (%)" title="Evoluția ratelor de rentabilitate, 2023–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Evoluția ratelor de rentabilitate, 2023–2025 (%)</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3.5. Duratele de rotație</w:t>
      </w:r>
    </w:p>
    <w:p>
      <w:r>
        <w:t xml:space="preserve">Durata de încasare a creanțelor a crescut de la 56 la 82 de zile, în timp ce firma își plătește furnizorii în aproximativ 51 de zile (Tabelul 7, Figura 8). Diferența de peste 30 de zile trebuie finanțată din credite, ceea ce explică creșterea dobânzilor.</w:t>
      </w:r>
    </w:p>
    <w:p>
      <w:pPr>
        <w:keepNext/>
        <w:spacing w:after="80" w:before="200" w:line="260"/>
        <w:ind w:firstLine="0"/>
        <w:jc w:val="left"/>
      </w:pPr>
      <w:r>
        <w:rPr>
          <w:b/>
          <w:bCs/>
          <w:sz w:val="22"/>
          <w:szCs w:val="22"/>
        </w:rPr>
        <w:t xml:space="preserve">Tabelul 7.</w:t>
      </w:r>
      <w:r>
        <w:rPr>
          <w:sz w:val="22"/>
          <w:szCs w:val="22"/>
        </w:rPr>
        <w:t xml:space="preserve"> Duratele de rotație, 2023–2025 (zile)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449"/>
        <w:gridCol w:w="1540"/>
        <w:gridCol w:w="1540"/>
        <w:gridCol w:w="1540"/>
      </w:tblGrid>
      <w:tr>
        <w:trPr>
          <w:tblHeader/>
        </w:trPr>
        <w:tc>
          <w:tcPr>
            <w:tcW w:type="dxa" w:w="44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2023</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2024</w:t>
            </w:r>
          </w:p>
        </w:tc>
        <w:tc>
          <w:tcPr>
            <w:tcW w:type="dxa" w:w="15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2025</w:t>
            </w:r>
          </w:p>
        </w:tc>
      </w:tr>
      <w:tr>
        <w:trPr>
          <w:cantSplit/>
        </w:trPr>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Durata de rotație a stocurilor</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58</w:t>
            </w:r>
          </w:p>
        </w:tc>
      </w:tr>
      <w:tr>
        <w:trPr>
          <w:cantSplit/>
        </w:trPr>
        <w:tc>
          <w:tcPr>
            <w:tcW w:type="dxa" w:w="44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Durata de încasare a creanțelor</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66</w:t>
            </w:r>
          </w:p>
        </w:tc>
        <w:tc>
          <w:tcPr>
            <w:tcW w:type="dxa" w:w="15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82</w:t>
            </w:r>
          </w:p>
        </w:tc>
      </w:tr>
      <w:tr>
        <w:trPr>
          <w:cantSplit/>
        </w:trPr>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Durata de plată a furnizorilor</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w:t>
            </w:r>
          </w:p>
        </w:tc>
        <w:tc>
          <w:tcPr>
            <w:tcW w:type="dxa" w:w="15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w:t>
            </w:r>
          </w:p>
        </w:tc>
      </w:tr>
    </w:tbl>
    <w:p>
      <w:pPr>
        <w:spacing w:after="200" w:before="40" w:line="240"/>
        <w:ind w:firstLine="0"/>
        <w:jc w:val="left"/>
      </w:pPr>
      <w:r>
        <w:rPr>
          <w:i/>
          <w:iCs/>
          <w:color w:val="7A8191"/>
          <w:sz w:val="18"/>
          <w:szCs w:val="18"/>
        </w:rPr>
        <w:t xml:space="preserve">Sursa: Calcule proprii: sold / cifra de afaceri × 365.</w:t>
      </w:r>
    </w:p>
    <w:p>
      <w:pPr>
        <w:keepNext/>
        <w:spacing w:after="60" w:before="160" w:line="240"/>
        <w:ind w:firstLine="0"/>
        <w:jc w:val="center"/>
      </w:pPr>
      <w:r>
        <w:drawing>
          <wp:inline distT="0" distB="0" distL="0" distR="0">
            <wp:extent cx="5486400" cy="2647950"/>
            <wp:effectExtent t="0" r="0" b="0" l="0"/>
            <wp:docPr id="8" name="Figura 8" descr="Duratele de rotație a stocurilor, creanțelor și furnizorilor (zile)" title="Duratele de rotație a stocurilor, creanțelor și furnizorilor (z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Duratele de rotație a stocurilor, creanțelor și furnizorilor (zile)</w:t>
      </w:r>
    </w:p>
    <w:p>
      <w:pPr>
        <w:spacing w:after="200" w:line="240"/>
        <w:ind w:firstLine="0"/>
        <w:jc w:val="center"/>
      </w:pPr>
      <w:r>
        <w:rPr>
          <w:i/>
          <w:iCs/>
          <w:color w:val="7A8191"/>
          <w:sz w:val="18"/>
          <w:szCs w:val="18"/>
        </w:rPr>
        <w:t xml:space="preserve">Sursa: Prelucrare proprie.</w:t>
      </w:r>
    </w:p>
    <w:p>
      <w:pPr>
        <w:pStyle w:val="Heading2"/>
        <w:keepNext/>
      </w:pPr>
      <w:r>
        <w:t xml:space="preserve">3.6. Diagnosticul și recomandările autorului</w:t>
      </w:r>
    </w:p>
    <w:p>
      <w:r>
        <w:t xml:space="preserve">În opinia noastră, scăderea profitului nu se datorează vânzărilor, ci modului în care este finanțată creșterea: politica permisivă de credit-client a mărit creanțele, iar decalajul dintre încasări și plăți a fost acoperit cu credite scumpe. Diagnosticul este sintetizat în Figura 9, iar măsurile propuse, cu indicatori-țintă, în Tabelul 8.</w:t>
      </w:r>
    </w:p>
    <w:p>
      <w:pPr>
        <w:keepNext/>
        <w:spacing w:after="60" w:before="160" w:line="240"/>
        <w:ind w:firstLine="0"/>
        <w:jc w:val="center"/>
      </w:pPr>
      <w:r>
        <w:drawing>
          <wp:inline distT="0" distB="0" distL="0" distR="0">
            <wp:extent cx="5762625" cy="3295650"/>
            <wp:effectExtent t="0" r="0" b="0" l="0"/>
            <wp:docPr id="9" name="Figura 9" descr="Diagnosticul financiar al SC Exemplu SRL" title="Diagnosticul financiar al SC Exemplu 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3295650"/>
                    </a:xfrm>
                    <a:prstGeom prst="rect">
                      <a:avLst/>
                    </a:prstGeom>
                  </pic:spPr>
                </pic:pic>
              </a:graphicData>
            </a:graphic>
          </wp:inline>
        </w:drawing>
      </w:r>
    </w:p>
    <w:p>
      <w:pPr>
        <w:keepNext/>
        <w:spacing w:after="20" w:line="260"/>
        <w:ind w:firstLine="0"/>
        <w:jc w:val="center"/>
      </w:pPr>
      <w:r>
        <w:rPr>
          <w:b/>
          <w:bCs/>
          <w:sz w:val="22"/>
          <w:szCs w:val="22"/>
        </w:rPr>
        <w:t xml:space="preserve">Figura 9.</w:t>
      </w:r>
      <w:r>
        <w:rPr>
          <w:sz w:val="22"/>
          <w:szCs w:val="22"/>
        </w:rPr>
        <w:t xml:space="preserve"> Diagnosticul financiar al SC Exemplu SRL</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8.</w:t>
      </w:r>
      <w:r>
        <w:rPr>
          <w:sz w:val="22"/>
          <w:szCs w:val="22"/>
        </w:rPr>
        <w:t xml:space="preserve"> Recomandările autorului pentru SC Exemplu SRL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46"/>
        <w:gridCol w:w="4137"/>
        <w:gridCol w:w="2387"/>
      </w:tblGrid>
      <w:tr>
        <w:trPr>
          <w:tblHeader/>
        </w:trPr>
        <w:tc>
          <w:tcPr>
            <w:tcW w:type="dxa" w:w="254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w:t>
            </w:r>
          </w:p>
        </w:tc>
        <w:tc>
          <w:tcPr>
            <w:tcW w:type="dxa" w:w="41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 propusă</w:t>
            </w:r>
          </w:p>
        </w:tc>
        <w:tc>
          <w:tcPr>
            <w:tcW w:type="dxa" w:w="23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Indicator-țintă (2026)</w:t>
            </w:r>
          </w:p>
        </w:tc>
      </w:tr>
      <w:tr>
        <w:trPr>
          <w:cantSplit/>
        </w:trPr>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Creanțe încasate în 82 de zile</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Termen de plată de 45 de zile în contractele noi, scadențar lunar, oprirea livrărilor la restanțe peste 30 de zile</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Durata de încasare sub 65 de zile</w:t>
            </w:r>
          </w:p>
        </w:tc>
      </w:tr>
      <w:tr>
        <w:trPr>
          <w:cantSplit/>
        </w:trPr>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Stocuri cu rotație lentă</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Analiza ABC a stocurilor, lichidarea articolelor fără mișcare de peste 6 luni</w:t>
            </w:r>
          </w:p>
        </w:tc>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Durata de rotație sub 50 de zile</w:t>
            </w:r>
          </w:p>
        </w:tc>
      </w:tr>
      <w:tr>
        <w:trPr>
          <w:cantSplit/>
        </w:trPr>
        <w:tc>
          <w:tcPr>
            <w:tcW w:type="dxa" w:w="254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Trezorerie netă negativă</w:t>
            </w:r>
          </w:p>
        </w:tc>
        <w:tc>
          <w:tcPr>
            <w:tcW w:type="dxa" w:w="41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Înlocuirea creditului pe termen scurt cu o linie de credit dimensionată după NFR</w:t>
            </w:r>
          </w:p>
        </w:tc>
        <w:tc>
          <w:tcPr>
            <w:tcW w:type="dxa" w:w="23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TN ≥ 0</w:t>
            </w:r>
          </w:p>
        </w:tc>
      </w:tr>
      <w:tr>
        <w:trPr>
          <w:cantSplit/>
        </w:trPr>
        <w:tc>
          <w:tcPr>
            <w:tcW w:type="dxa" w:w="254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Marjă netă în scădere</w:t>
            </w:r>
          </w:p>
        </w:tc>
        <w:tc>
          <w:tcPr>
            <w:tcW w:type="dxa" w:w="41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Renegocierea prețurilor de achiziție și urmărirea lunară a marjei pe grupe de produse</w:t>
            </w:r>
          </w:p>
        </w:tc>
        <w:tc>
          <w:tcPr>
            <w:tcW w:type="dxa" w:w="23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Marja netă peste 5%</w:t>
            </w:r>
          </w:p>
        </w:tc>
      </w:tr>
    </w:tbl>
    <w:p>
      <w:pPr>
        <w:spacing w:after="200" w:before="40" w:line="240"/>
        <w:ind w:firstLine="0"/>
        <w:jc w:val="left"/>
      </w:pPr>
      <w:r>
        <w:rPr>
          <w:i/>
          <w:iCs/>
          <w:color w:val="7A8191"/>
          <w:sz w:val="18"/>
          <w:szCs w:val="18"/>
        </w:rPr>
        <w:t xml:space="preserve">Sursa: Propuneri proprii.</w:t>
      </w:r>
    </w:p>
    <w:p>
      <w:r>
        <w:t xml:space="preserve">Dacă durata de încasare ar reveni la 65 de zile la cifra de afaceri din 2025, creanțele ar scădea cu aproximativ 430 mii lei (2 050 − 9 100 × 65 / 365), adică circa 70% din creditul bancar pe termen scurt.</w:t>
      </w:r>
    </w:p>
    <w:p>
      <w:pPr>
        <w:pStyle w:val="Heading1"/>
        <w:pageBreakBefore/>
      </w:pPr>
      <w:commentRangeStart w:id="13"/>
      <w:r>
        <w:t xml:space="preserve">Concluzii</w:t>
      </w:r>
      <w:commentRangeEnd w:id="13"/>
      <w:r>
        <w:commentReference w:id="13"/>
      </w:r>
    </w:p>
    <w:p>
      <w:r>
        <w:t xml:space="preserve">SC Exemplu SRL și-a crescut cifra de afaceri cu 26,4% între 2023 și 2025, dar profitul net a scăzut în 2025 la 294 mii lei. Analiza arată că principala cauză este finanțarea creanțelor și a stocurilor din credite pe termen scurt: durata de încasare a ajuns la 82 de zile, trezoreria netă a devenit negativă, iar cheltuielile cu dobânzile s-au mai mult decât dublat. Firma rămâne solvabilă, dar rentabilitatea capitalurilor proprii s-a înjumătățit.</w:t>
      </w:r>
    </w:p>
    <w:p>
      <w:r>
        <w:rPr>
          <w:b/>
          <w:bCs/>
        </w:rPr>
        <w:t xml:space="preserve">Recomandări:</w:t>
      </w:r>
      <w:r>
        <w:t xml:space="preserve"> o politică de credit-client mai strictă, optimizarea stocurilor și o finanțare corelată cu necesarul de fond de rulment. </w:t>
      </w:r>
      <w:r>
        <w:rPr>
          <w:b/>
          <w:bCs/>
        </w:rPr>
        <w:t xml:space="preserve">Limite:</w:t>
      </w:r>
      <w:r>
        <w:t xml:space="preserve"> analiza folosește solduri de sfârșit de an și nu compară firma cu media sectorului; o extensie firească este comparația cu firme similare și analiza fluxurilor de trezorerie.</w:t>
      </w:r>
    </w:p>
    <w:p>
      <w:pPr>
        <w:pStyle w:val="Heading1"/>
        <w:pageBreakBefore/>
      </w:pPr>
      <w:commentRangeStart w:id="14"/>
      <w:r>
        <w:t xml:space="preserve">Bibliografie</w:t>
      </w:r>
      <w:commentRangeEnd w:id="14"/>
      <w:r>
        <w:commentReference w:id="14"/>
      </w:r>
    </w:p>
    <w:p>
      <w:pPr>
        <w:spacing w:after="100" w:line="300"/>
        <w:ind w:left="709" w:hanging="709" w:firstLine="0"/>
        <w:jc w:val="left"/>
      </w:pPr>
      <w:r>
        <w:rPr>
          <w:b/>
          <w:bCs/>
        </w:rPr>
        <w:t xml:space="preserve">Legislație</w:t>
      </w:r>
    </w:p>
    <w:p>
      <w:pPr>
        <w:spacing w:after="100" w:line="300"/>
        <w:ind w:left="709" w:hanging="709" w:firstLine="0"/>
        <w:jc w:val="left"/>
      </w:pPr>
      <w:r>
        <w:t xml:space="preserve">Legea contabilității nr. 82/1991, republicată, cu modificările și completările ulterioare.</w:t>
      </w:r>
    </w:p>
    <w:p>
      <w:pPr>
        <w:spacing w:after="100" w:line="300"/>
        <w:ind w:left="709" w:hanging="709" w:firstLine="0"/>
        <w:jc w:val="left"/>
      </w:pPr>
      <w:r>
        <w:t xml:space="preserve">Ordinul ministrului finanțelor publice nr. 1802/2014 pentru aprobarea Reglementărilor contabile privind situațiile financiare anuale individuale și situațiile financiare anuale consolidate, cu modificările și completările ulterioare.</w:t>
      </w:r>
    </w:p>
    <w:p>
      <w:pPr>
        <w:spacing w:after="100" w:line="300"/>
        <w:ind w:left="709" w:hanging="709" w:firstLine="0"/>
        <w:jc w:val="left"/>
      </w:pPr>
      <w:r>
        <w:rPr>
          <w:b/>
          <w:bCs/>
        </w:rPr>
        <w:t xml:space="preserve">Lucrări de specialitate</w:t>
      </w:r>
    </w:p>
    <w:p>
      <w:pPr>
        <w:spacing w:after="100" w:line="300"/>
        <w:ind w:left="709" w:hanging="709" w:firstLine="0"/>
        <w:jc w:val="left"/>
      </w:pPr>
      <w:r>
        <w:t xml:space="preserve">Dinu, A. (2023). Durata de încasare a creanțelor și rentabilitatea firmelor comerciale. </w:t>
      </w:r>
      <w:r>
        <w:rPr>
          <w:i/>
          <w:iCs/>
        </w:rPr>
        <w:t xml:space="preserve">Revista de Contabilitate și Audit, 9</w:t>
      </w:r>
      <w:r>
        <w:t xml:space="preserve">(1), 33–48.</w:t>
      </w:r>
    </w:p>
    <w:p>
      <w:pPr>
        <w:spacing w:after="100" w:line="300"/>
        <w:ind w:left="709" w:hanging="709" w:firstLine="0"/>
        <w:jc w:val="left"/>
      </w:pPr>
      <w:r>
        <w:t xml:space="preserve">Ionescu, C. (2021). </w:t>
      </w:r>
      <w:r>
        <w:rPr>
          <w:i/>
          <w:iCs/>
        </w:rPr>
        <w:t xml:space="preserve">Analiza situațiilor financiare: teorie și aplicații</w:t>
      </w:r>
      <w:r>
        <w:t xml:space="preserve"> (ed. a 3-a). Editura Exemplu.</w:t>
      </w:r>
    </w:p>
    <w:p>
      <w:pPr>
        <w:spacing w:after="100" w:line="300"/>
        <w:ind w:left="709" w:hanging="709" w:firstLine="0"/>
        <w:jc w:val="left"/>
      </w:pPr>
      <w:r>
        <w:t xml:space="preserve">Marin, D. (2022). </w:t>
      </w:r>
      <w:r>
        <w:rPr>
          <w:i/>
          <w:iCs/>
        </w:rPr>
        <w:t xml:space="preserve">Diagnostic financiar al întreprinderii</w:t>
      </w:r>
      <w:r>
        <w:t xml:space="preserve">. Editura Exemplu.</w:t>
      </w:r>
    </w:p>
    <w:p>
      <w:pPr>
        <w:spacing w:after="100" w:line="300"/>
        <w:ind w:left="709" w:hanging="709" w:firstLine="0"/>
        <w:jc w:val="left"/>
      </w:pPr>
      <w:r>
        <w:t xml:space="preserve">Stan, L., &amp; Vasile, R. (2020). Echilibrul financiar al IMM-urilor din comerț. </w:t>
      </w:r>
      <w:r>
        <w:rPr>
          <w:i/>
          <w:iCs/>
        </w:rPr>
        <w:t xml:space="preserve">Studii Economice, 14</w:t>
      </w:r>
      <w:r>
        <w:t xml:space="preserve">(2), 71–86.</w:t>
      </w:r>
    </w:p>
    <w:p>
      <w:pPr>
        <w:pStyle w:val="Heading1"/>
        <w:pageBreakBefore/>
      </w:pPr>
      <w:commentRangeStart w:id="15"/>
      <w:r>
        <w:t xml:space="preserve">Anexa 1. Bilanțul prescurtat al SC Exemplu SRL (extras, cifre simulate)</w:t>
      </w:r>
      <w:commentRangeEnd w:id="15"/>
      <w:r>
        <w:commentReference w:id="15"/>
      </w:r>
    </w:p>
    <w:p>
      <w:r>
        <w:t xml:space="preserve">În lucrarea reală, anexa reproduce formularele depuse pentru fiecare an analizat, cu codurile rândurilor. Corespondența folosită la retratare:</w:t>
      </w:r>
    </w:p>
    <w:p>
      <w:pPr>
        <w:tabs>
          <w:tab w:val="left" w:pos="709"/>
        </w:tabs>
        <w:spacing w:after="60"/>
        <w:ind w:left="709" w:hanging="357" w:firstLine="0"/>
        <w:jc w:val="left"/>
      </w:pPr>
      <w:r>
        <w:t xml:space="preserve">•	</w:t>
      </w:r>
      <w:r>
        <w:rPr>
          <w:b/>
          <w:bCs/>
        </w:rPr>
        <w:t xml:space="preserve">Active imobilizate:</w:t>
      </w:r>
      <w:r>
        <w:t xml:space="preserve"> imobilizări necorporale, corporale și financiare (valori nete);</w:t>
      </w:r>
    </w:p>
    <w:p>
      <w:pPr>
        <w:tabs>
          <w:tab w:val="left" w:pos="709"/>
        </w:tabs>
        <w:spacing w:after="60"/>
        <w:ind w:left="709" w:hanging="357" w:firstLine="0"/>
        <w:jc w:val="left"/>
      </w:pPr>
      <w:r>
        <w:t xml:space="preserve">•	</w:t>
      </w:r>
      <w:r>
        <w:rPr>
          <w:b/>
          <w:bCs/>
        </w:rPr>
        <w:t xml:space="preserve">Active circulante:</w:t>
      </w:r>
      <w:r>
        <w:t xml:space="preserve"> stocuri, creanțe, investiții pe termen scurt, casa și conturi la bănci;</w:t>
      </w:r>
    </w:p>
    <w:p>
      <w:pPr>
        <w:tabs>
          <w:tab w:val="left" w:pos="709"/>
        </w:tabs>
        <w:spacing w:after="60"/>
        <w:ind w:left="709" w:hanging="357" w:firstLine="0"/>
        <w:jc w:val="left"/>
      </w:pPr>
      <w:r>
        <w:t xml:space="preserve">•	</w:t>
      </w:r>
      <w:r>
        <w:rPr>
          <w:b/>
          <w:bCs/>
        </w:rPr>
        <w:t xml:space="preserve">Datorii curente:</w:t>
      </w:r>
      <w:r>
        <w:t xml:space="preserve"> datoriile care trebuie plătite într-o perioadă de până la un an;</w:t>
      </w:r>
    </w:p>
    <w:p>
      <w:pPr>
        <w:tabs>
          <w:tab w:val="left" w:pos="709"/>
        </w:tabs>
        <w:spacing w:after="60"/>
        <w:ind w:left="709" w:hanging="357" w:firstLine="0"/>
        <w:jc w:val="left"/>
      </w:pPr>
      <w:r>
        <w:t xml:space="preserve">•	</w:t>
      </w:r>
      <w:r>
        <w:rPr>
          <w:b/>
          <w:bCs/>
        </w:rPr>
        <w:t xml:space="preserve">Datorii pe termen lung:</w:t>
      </w:r>
      <w:r>
        <w:t xml:space="preserve"> datoriile care trebuie plătite într-o perioadă mai mare de un an.</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Contabilitate.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Lichiditatea curenta a firmei este 1.66 ceea ce inseamna ca firma sta foarte bine si poate plati toate datoriile. Profitul a scazut putin in 2025 dar nu este o problema pentru ca cifra de afaceri a crescut. Din bilant se vede ca firma are multi bani.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Lichiditatea curentă a scăzut ușor, de la 1,71 în 2024 la 1,66 în 2025, sub nivelul orientativ de 2 (Ionescu, 2021). Indicatorul trebuie însă citit împreună cu durata de încasare a creanțelor, care a crescut de la 66 la 82 de zile (Tabelul 7). Deși cifra de afaceri a crescut cu 9,6% în 2025, profitul net a scăzut cu 44%, iar disponibilitățile reprezintă doar 4,0% din totalul activului.</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și virgula zecimală (1,66, nu 1.66).</w:t>
      </w:r>
    </w:p>
    <w:p>
      <w:pPr>
        <w:tabs>
          <w:tab w:val="left" w:pos="709"/>
        </w:tabs>
        <w:spacing w:after="60"/>
        <w:ind w:left="709" w:hanging="357" w:firstLine="0"/>
        <w:jc w:val="left"/>
      </w:pPr>
      <w:r>
        <w:t xml:space="preserve">2.	</w:t>
      </w:r>
      <w:r>
        <w:t xml:space="preserve">„Firma stă foarte bine” a devenit o comparație cu anul anterior și cu un nivel de referință, cu sursă.</w:t>
      </w:r>
    </w:p>
    <w:p>
      <w:pPr>
        <w:tabs>
          <w:tab w:val="left" w:pos="709"/>
        </w:tabs>
        <w:spacing w:after="60"/>
        <w:ind w:left="709" w:hanging="357" w:firstLine="0"/>
        <w:jc w:val="left"/>
      </w:pPr>
      <w:r>
        <w:t xml:space="preserve">3.	</w:t>
      </w:r>
      <w:r>
        <w:t xml:space="preserve">Indicatorul nu mai este interpretat izolat: lichiditatea este legată de durata de încasare a creanțelor.</w:t>
      </w:r>
    </w:p>
    <w:p>
      <w:pPr>
        <w:tabs>
          <w:tab w:val="left" w:pos="709"/>
        </w:tabs>
        <w:spacing w:after="60"/>
        <w:ind w:left="709" w:hanging="357" w:firstLine="0"/>
        <w:jc w:val="left"/>
      </w:pPr>
      <w:r>
        <w:t xml:space="preserve">4.	</w:t>
      </w:r>
      <w:r>
        <w:t xml:space="preserve">„Profitul a scăzut puțin” a devenit o variație calculată (−44%), cu trimitere la tabel.</w:t>
      </w:r>
    </w:p>
    <w:p>
      <w:pPr>
        <w:tabs>
          <w:tab w:val="left" w:pos="709"/>
        </w:tabs>
        <w:spacing w:after="60"/>
        <w:ind w:left="709" w:hanging="357" w:firstLine="0"/>
        <w:jc w:val="left"/>
      </w:pPr>
      <w:r>
        <w:t xml:space="preserve">5.	</w:t>
      </w:r>
      <w:r>
        <w:t xml:space="preserve">Afirmația „firma are mulți bani” a fost înlocuită cu ponderea reală a disponibilităților în activ.</w:t>
      </w:r>
    </w:p>
    <w:p>
      <w:pPr>
        <w:spacing w:before="360"/>
        <w:ind w:firstLine="0"/>
        <w:jc w:val="left"/>
      </w:pPr>
      <w:r>
        <w:rPr>
          <w:b/>
          <w:bCs/>
        </w:rPr>
        <w:t xml:space="preserve">Vrei aceeași corectare pentru lucrarea ta? </w:t>
      </w:r>
      <w:hyperlink w:history="1" r:id="rIdahtspd3nzufd5mrzh4qyb">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lhhnwdccupsibrbgjajlo">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1mluxfg1czmsoqslsxel-">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entitatea studiată, întrebarea la care răspunde analiza, obiectivele, sursele de date și structura lucrării. La licență are 2–3 pagini; aici e prescurtată.</w:t>
      </w:r>
    </w:p>
    <w:p>
      <w:r>
        <w:rPr>
          <w:rFonts w:ascii="Arial" w:cs="Arial" w:eastAsia="Arial" w:hAnsi="Arial"/>
          <w:b/>
          <w:bCs/>
          <w:sz w:val="16"/>
          <w:szCs w:val="16"/>
        </w:rPr>
        <w:t xml:space="preserve">Ghid: </w:t>
      </w:r>
      <w:hyperlink w:history="1" r:id="rIdc5f2dci3d8nwgkswzlv1r">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Contabilitate, obiectivul „să analizez situația financiară” este prea vag. Pune o întrebare la care cifrele pot răspunde, de exemplu de ce scade profitul sau dacă firma își poate plăti datoriile.</w:t>
      </w:r>
    </w:p>
    <w:p>
      <w:r>
        <w:rPr>
          <w:rFonts w:ascii="Arial" w:cs="Arial" w:eastAsia="Arial" w:hAnsi="Arial"/>
          <w:b/>
          <w:bCs/>
          <w:sz w:val="16"/>
          <w:szCs w:val="16"/>
        </w:rPr>
        <w:t xml:space="preserve">Ghid: </w:t>
      </w:r>
      <w:hyperlink w:history="1" r:id="rIdqqdu3ugrcocx1lkna29zd">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Primul capitol prezintă reglementările aplicabile și metodele de analiză: doar ce folosești în studiul de caz. Fiecare formulă de indicator are o sursă bibliografică.</w:t>
      </w:r>
    </w:p>
    <w:p>
      <w:r>
        <w:rPr>
          <w:rFonts w:ascii="Arial" w:cs="Arial" w:eastAsia="Arial" w:hAnsi="Arial"/>
          <w:b/>
          <w:bCs/>
          <w:sz w:val="16"/>
          <w:szCs w:val="16"/>
        </w:rPr>
        <w:t xml:space="preserve">Ghid: </w:t>
      </w:r>
      <w:hyperlink w:history="1" r:id="rIdaajvowon2rsq6nrov8jfx">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cita doar „OMFP 1802”. La prima mențiune scrii titlul complet al actului normativ și precizezi „cu modificările și completările ulterioare”, iar în bibliografie actele normative se grupează separat.</w:t>
      </w:r>
    </w:p>
    <w:p>
      <w:r>
        <w:rPr>
          <w:rFonts w:ascii="Arial" w:cs="Arial" w:eastAsia="Arial" w:hAnsi="Arial"/>
          <w:b/>
          <w:bCs/>
          <w:sz w:val="16"/>
          <w:szCs w:val="16"/>
        </w:rPr>
        <w:t xml:space="preserve">Ghid: </w:t>
      </w:r>
      <w:hyperlink w:history="1" r:id="rIddqiw6m2cemxbdykhgtnmg">
        <w:r>
          <w:rPr>
            <w:rFonts w:ascii="Arial" w:cs="Arial" w:eastAsia="Arial" w:hAnsi="Arial"/>
            <w:color w:val="4B7A5E"/>
            <w:sz w:val="16"/>
            <w:szCs w:val="16"/>
            <w:u w:val="single"/>
          </w:rPr>
          <w:t xml:space="preserve">licenta-disertatie-romania.com/resurse/generator-citare-apa/</w:t>
        </w:r>
      </w:hyperlink>
    </w:p>
  </w:comment>
  <w:comment w:id="8" w:initials="LR" w:author="Rolul secțiunii" w:date="2026-05-20T10:00:00.000Z">
    <w:p>
      <w:r>
        <w:rPr>
          <w:sz w:val="18"/>
          <w:szCs w:val="18"/>
        </w:rPr>
        <w:t xml:space="preserve">Prezentarea entității este scurtă și utilă pentru analiză: activitate, mărime, politici contabile, sursa datelor. Datele firmei se anonimizează dacă nu ai acordul scris de publicare.</w:t>
      </w:r>
    </w:p>
  </w:comment>
  <w:comment w:id="9" w:initials="LR" w:author="Sfat" w:date="2026-05-20T10:00:00.000Z">
    <w:p>
      <w:r>
        <w:rPr>
          <w:sz w:val="18"/>
          <w:szCs w:val="18"/>
        </w:rPr>
        <w:t xml:space="preserve">Spune de unde ai luat datele (situațiile financiare depuse, balanțe de verificare puse la dispoziție de firmă) și pentru ce ani. Comisia verifică dacă cifrele din tabele corespund cu anexele.</w:t>
      </w:r>
    </w:p>
  </w:comment>
  <w:comment w:id="10" w:initials="LR" w:author="Rolul secțiunii" w:date="2026-05-20T10:00:00.000Z">
    <w:p>
      <w:r>
        <w:rPr>
          <w:sz w:val="18"/>
          <w:szCs w:val="18"/>
        </w:rPr>
        <w:t xml:space="preserve">Partea aplicativă este contribuția ta: calculezi, compari pe ani și interpretezi fiecare indicator. Un tabel de indicatori fără explicația cauzelor nu este analiză.</w:t>
      </w:r>
    </w:p>
  </w:comment>
  <w:comment w:id="11" w:initials="LR" w:author="Sfat" w:date="2026-05-20T10:00:00.000Z">
    <w:p>
      <w:r>
        <w:rPr>
          <w:sz w:val="18"/>
          <w:szCs w:val="18"/>
        </w:rPr>
        <w:t xml:space="preserve">Verifică legătura dintre bilanț și CPP: variația capitalurilor proprii este egală cu profitul net minus dividendele. Aici: 2 600 + 525 − 175 (dividende) = 2 950 mii lei în 2024 și 2 950 + 294 = 3 244 mii lei în 2025.</w:t>
      </w:r>
    </w:p>
  </w:comment>
  <w:comment w:id="12" w:initials="LR" w:author="Greșeală frecventă" w:date="2026-05-20T10:00:00.000Z">
    <w:p>
      <w:r>
        <w:rPr>
          <w:sz w:val="18"/>
          <w:szCs w:val="18"/>
        </w:rPr>
        <w:t xml:space="preserve">Nu interpreta un indicator izolat. O lichiditate curentă de 1,66 pare acceptabilă, dar, citită împreună cu creanțele care se încasează tot mai greu, arată o lichiditate care depinde de clienți întârziați la plată.</w:t>
      </w:r>
    </w:p>
  </w:comment>
  <w:comment w:id="13" w:initials="LR" w:author="Rolul secțiunii" w:date="2026-05-20T10:00:00.000Z">
    <w:p>
      <w:r>
        <w:rPr>
          <w:sz w:val="18"/>
          <w:szCs w:val="18"/>
        </w:rPr>
        <w:t xml:space="preserve">Concluziile răspund la întrebarea din introducere și reiau obiectivele, fără cifre noi. Încheie cu recomandările principale și cu limitele analizei.</w:t>
      </w:r>
    </w:p>
    <w:p>
      <w:r>
        <w:rPr>
          <w:rFonts w:ascii="Arial" w:cs="Arial" w:eastAsia="Arial" w:hAnsi="Arial"/>
          <w:b/>
          <w:bCs/>
          <w:sz w:val="16"/>
          <w:szCs w:val="16"/>
        </w:rPr>
        <w:t xml:space="preserve">Ghid: </w:t>
      </w:r>
      <w:hyperlink w:history="1" r:id="rIdxahjswzdv6predu9up7ov">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Actele normative sunt reale; manualele și articolele sunt generice, inventate pentru acest exemplu. În lucrarea ta citezi doar surse reale, în stilul cerut de facultate (aici APA 7, cu legislația grupată separat).</w:t>
      </w:r>
    </w:p>
    <w:p>
      <w:r>
        <w:rPr>
          <w:rFonts w:ascii="Arial" w:cs="Arial" w:eastAsia="Arial" w:hAnsi="Arial"/>
          <w:b/>
          <w:bCs/>
          <w:sz w:val="16"/>
          <w:szCs w:val="16"/>
        </w:rPr>
        <w:t xml:space="preserve">Ghid: </w:t>
      </w:r>
      <w:hyperlink w:history="1" r:id="rIdewr4ewk6-oeutseo_bquj">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Situațiile financiare complete (bilanț, cont de profit și pierdere) se pun în anexe, iar în text folosești forma retratată. Comisia trebuie să poată verifica de unde provine fiecare cifră.</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y52gm5xtpbx-ukwhrddyo">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zofciddjjutxqrw8d9sad">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9lb75eoalrlvrkrdxktll">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lhhnwdccupsibrbgjajlo" Type="http://schemas.openxmlformats.org/officeDocument/2006/relationships/hyperlink" Target="https://licenta-disertatie-romania.com/blog/cuprins-lucrare-licenta/" TargetMode="External"/><Relationship Id="rId1mluxfg1czmsoqslsxel-" Type="http://schemas.openxmlformats.org/officeDocument/2006/relationships/hyperlink" Target="https://licenta-disertatie-romania.com/blog/formatare-lucrare-licenta/" TargetMode="External"/><Relationship Id="rIdc5f2dci3d8nwgkswzlv1r" Type="http://schemas.openxmlformats.org/officeDocument/2006/relationships/hyperlink" Target="https://licenta-disertatie-romania.com/blog/introducere-lucrare-licenta/" TargetMode="External"/><Relationship Id="rIdqqdu3ugrcocx1lkna29zd" Type="http://schemas.openxmlformats.org/officeDocument/2006/relationships/hyperlink" Target="https://licenta-disertatie-romania.com/blog/ipoteze-obiective-lucrare-licenta/" TargetMode="External"/><Relationship Id="rIdaajvowon2rsq6nrov8jfx" Type="http://schemas.openxmlformats.org/officeDocument/2006/relationships/hyperlink" Target="https://licenta-disertatie-romania.com/blog/structura-lucrare-licenta/" TargetMode="External"/><Relationship Id="rIddqiw6m2cemxbdykhgtnmg" Type="http://schemas.openxmlformats.org/officeDocument/2006/relationships/hyperlink" Target="https://licenta-disertatie-romania.com/resurse/generator-citare-apa/" TargetMode="External"/><Relationship Id="rIdxahjswzdv6predu9up7ov" Type="http://schemas.openxmlformats.org/officeDocument/2006/relationships/hyperlink" Target="https://licenta-disertatie-romania.com/blog/concluzii-lucrare-licenta/" TargetMode="External"/><Relationship Id="rIdewr4ewk6-oeutseo_bquj" Type="http://schemas.openxmlformats.org/officeDocument/2006/relationships/hyperlink" Target="https://licenta-disertatie-romania.com/resurse/generator-citare-apa/" TargetMode="External"/><Relationship Id="rIdy52gm5xtpbx-ukwhrddyo"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ahtspd3nzufd5mrzh4qyb" Type="http://schemas.openxmlformats.org/officeDocument/2006/relationships/hyperlink" Target="https://licenta-disertatie-romania.com/contact/" TargetMode="External"/><Relationship Id="rId10" Type="http://schemas.openxmlformats.org/officeDocument/2006/relationships/image" Target="media/5a9b8e72a5ac07f6aaa19b984900298b84fe1986.png"/><Relationship Id="rId11" Type="http://schemas.openxmlformats.org/officeDocument/2006/relationships/image" Target="media/82c1361afd88859f58bf7777e04c97123c49ac2e.png"/><Relationship Id="rId12" Type="http://schemas.openxmlformats.org/officeDocument/2006/relationships/image" Target="media/c5334641e19269d802f4c2659d027312f745244b.png"/><Relationship Id="rId13" Type="http://schemas.openxmlformats.org/officeDocument/2006/relationships/image" Target="media/5251bea22e5a770b512aa3bc96ef6e3bf3ddd53e.png"/><Relationship Id="rId14" Type="http://schemas.openxmlformats.org/officeDocument/2006/relationships/image" Target="media/d06ede64af759e5cdeff6cdea7b5c723e530aa4d.png"/><Relationship Id="rId15" Type="http://schemas.openxmlformats.org/officeDocument/2006/relationships/image" Target="media/ba467eca0d874f7a338f2feeb351e53815189912.png"/><Relationship Id="rId16" Type="http://schemas.openxmlformats.org/officeDocument/2006/relationships/image" Target="media/79eb36edadc85e57b8cd0c6f9102acc4769fd1a2.png"/><Relationship Id="rId17" Type="http://schemas.openxmlformats.org/officeDocument/2006/relationships/image" Target="media/18a7b191c18e96ba2288693985beda0bcf6d4dde.png"/><Relationship Id="rId18" Type="http://schemas.openxmlformats.org/officeDocument/2006/relationships/image" Target="media/7679fac86c89cfd3713135e0f0ceca7efd20cc2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fciddjjutxqrw8d9sad"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9lb75eoalrlvrkrdxktll"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Contabilitate</dc:title>
  <dc:creator>Licenta RO</dc:creator>
  <dc:description>Exemplu fictiv cu date simulate: licenta-disertatie-romania.com</dc:description>
  <cp:lastModifiedBy>Un-named</cp:lastModifiedBy>
  <cp:revision>1</cp:revision>
  <dcterms:created xsi:type="dcterms:W3CDTF">2026-10-05T20:23:30.675Z</dcterms:created>
  <dcterms:modified xsi:type="dcterms:W3CDTF">2026-10-05T20:23:30.675Z</dcterms:modified>
</cp:coreProperties>
</file>

<file path=docProps/custom.xml><?xml version="1.0" encoding="utf-8"?>
<Properties xmlns="http://schemas.openxmlformats.org/officeDocument/2006/custom-properties" xmlns:vt="http://schemas.openxmlformats.org/officeDocument/2006/docPropsVTypes"/>
</file>