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JURNALISM ȘI ȘTIINȚELE COMUNICĂRII</w:t>
      </w:r>
    </w:p>
    <w:p>
      <w:pPr>
        <w:spacing w:after="0" w:before="60"/>
        <w:ind w:firstLine="0"/>
        <w:jc w:val="center"/>
      </w:pPr>
      <w:r>
        <w:rPr>
          <w:b w:val="false"/>
          <w:bCs w:val="false"/>
          <w:i w:val="false"/>
          <w:iCs w:val="false"/>
        </w:rPr>
        <w:t xml:space="preserve">Programul de studii: Comunicare și relații publice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Comunicarea de criză a unei mărci pe rețelele sociale</w:t>
      </w:r>
    </w:p>
    <w:p>
      <w:pPr>
        <w:spacing w:after="0" w:before="120"/>
        <w:ind w:firstLine="0"/>
        <w:jc w:val="center"/>
      </w:pPr>
      <w:r>
        <w:rPr>
          <w:b w:val="false"/>
          <w:bCs w:val="false"/>
          <w:i/>
          <w:iCs/>
          <w:sz w:val="24"/>
          <w:szCs w:val="24"/>
        </w:rPr>
        <w:t xml:space="preserve">Studiu de caz: retragerea unui lot de produse de către marca fictivă „Lacto X”</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Mihai Stoica (nume fictiv)</w:t>
      </w:r>
    </w:p>
    <w:p>
      <w:pPr>
        <w:spacing w:before="300"/>
        <w:ind w:firstLine="0"/>
        <w:jc w:val="right"/>
      </w:pPr>
      <w:r>
        <w:rPr>
          <w:b/>
          <w:bCs/>
        </w:rPr>
        <w:t xml:space="preserve">Absolvent:</w:t>
      </w:r>
    </w:p>
    <w:p>
      <w:pPr>
        <w:ind w:firstLine="0"/>
        <w:jc w:val="right"/>
      </w:pPr>
      <w:r>
        <w:t xml:space="preserve">Ioana Marinescu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Marinescu</w:t>
      </w:r>
      <w:r>
        <w:t xml:space="preserve">, absolvent(ă) al(a) programului de studii Comunicare și relații publice, declar pe propria răspundere că lucrarea de licență cu titlul „Comunicarea de criză a unei mărci pe rețelele sociale”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Comunicarea de criză: concepte și teorii</w:t>
      </w:r>
      <w:r>
        <w:t xml:space="preserve">	7</w:t>
      </w:r>
    </w:p>
    <w:p>
      <w:pPr>
        <w:tabs>
          <w:tab w:val="right" w:pos="9026" w:leader="dot"/>
        </w:tabs>
        <w:spacing w:after="40" w:line="300"/>
        <w:ind w:left="400" w:firstLine="0"/>
        <w:jc w:val="left"/>
      </w:pPr>
      <w:r>
        <w:rPr>
          <w:b w:val="false"/>
          <w:bCs w:val="false"/>
        </w:rPr>
        <w:t xml:space="preserve">1.1. Criza organizațională și etapele ei</w:t>
      </w:r>
      <w:r>
        <w:t xml:space="preserve">	7</w:t>
      </w:r>
    </w:p>
    <w:p>
      <w:pPr>
        <w:tabs>
          <w:tab w:val="right" w:pos="9026" w:leader="dot"/>
        </w:tabs>
        <w:spacing w:after="40" w:line="300"/>
        <w:ind w:left="400" w:firstLine="0"/>
        <w:jc w:val="left"/>
      </w:pPr>
      <w:r>
        <w:rPr>
          <w:b w:val="false"/>
          <w:bCs w:val="false"/>
        </w:rPr>
        <w:t xml:space="preserve">1.2. Teoria comunicării situaționale de criză</w:t>
      </w:r>
      <w:r>
        <w:t xml:space="preserve">	7</w:t>
      </w:r>
    </w:p>
    <w:p>
      <w:pPr>
        <w:tabs>
          <w:tab w:val="right" w:pos="9026" w:leader="dot"/>
        </w:tabs>
        <w:spacing w:after="40" w:line="300"/>
        <w:ind w:left="400" w:firstLine="0"/>
        <w:jc w:val="left"/>
      </w:pPr>
      <w:r>
        <w:rPr>
          <w:b w:val="false"/>
          <w:bCs w:val="false"/>
        </w:rPr>
        <w:t xml:space="preserve">1.3. Specificul crizelor pe rețelele sociale</w:t>
      </w:r>
      <w:r>
        <w:t xml:space="preserve">	8</w:t>
      </w:r>
    </w:p>
    <w:p>
      <w:pPr>
        <w:tabs>
          <w:tab w:val="right" w:pos="9026" w:leader="dot"/>
        </w:tabs>
        <w:spacing w:after="40" w:line="300"/>
        <w:ind w:left="0" w:firstLine="0"/>
        <w:jc w:val="left"/>
      </w:pPr>
      <w:r>
        <w:rPr>
          <w:b/>
          <w:bCs/>
        </w:rPr>
        <w:t xml:space="preserve">Capitolul 2. Metodologia cercetării</w:t>
      </w:r>
      <w:r>
        <w:t xml:space="preserve">	9</w:t>
      </w:r>
    </w:p>
    <w:p>
      <w:pPr>
        <w:tabs>
          <w:tab w:val="right" w:pos="9026" w:leader="dot"/>
        </w:tabs>
        <w:spacing w:after="40" w:line="300"/>
        <w:ind w:left="400" w:firstLine="0"/>
        <w:jc w:val="left"/>
      </w:pPr>
      <w:r>
        <w:rPr>
          <w:b w:val="false"/>
          <w:bCs w:val="false"/>
        </w:rPr>
        <w:t xml:space="preserve">2.1. Corpusul și eșantionul</w:t>
      </w:r>
      <w:r>
        <w:t xml:space="preserve">	9</w:t>
      </w:r>
    </w:p>
    <w:p>
      <w:pPr>
        <w:tabs>
          <w:tab w:val="right" w:pos="9026" w:leader="dot"/>
        </w:tabs>
        <w:spacing w:after="40" w:line="300"/>
        <w:ind w:left="400" w:firstLine="0"/>
        <w:jc w:val="left"/>
      </w:pPr>
      <w:r>
        <w:rPr>
          <w:b w:val="false"/>
          <w:bCs w:val="false"/>
        </w:rPr>
        <w:t xml:space="preserve">2.2. Grila de codificare</w:t>
      </w:r>
      <w:r>
        <w:t xml:space="preserve">	10</w:t>
      </w:r>
    </w:p>
    <w:p>
      <w:pPr>
        <w:tabs>
          <w:tab w:val="right" w:pos="9026" w:leader="dot"/>
        </w:tabs>
        <w:spacing w:after="40" w:line="300"/>
        <w:ind w:left="0" w:firstLine="0"/>
        <w:jc w:val="left"/>
      </w:pPr>
      <w:r>
        <w:rPr>
          <w:b/>
          <w:bCs/>
        </w:rPr>
        <w:t xml:space="preserve">Capitolul 3. Analiza comunicării de criză a mărcii „Lacto X”</w:t>
      </w:r>
      <w:r>
        <w:t xml:space="preserve">	11</w:t>
      </w:r>
    </w:p>
    <w:p>
      <w:pPr>
        <w:tabs>
          <w:tab w:val="right" w:pos="9026" w:leader="dot"/>
        </w:tabs>
        <w:spacing w:after="40" w:line="300"/>
        <w:ind w:left="400" w:firstLine="0"/>
        <w:jc w:val="left"/>
      </w:pPr>
      <w:r>
        <w:rPr>
          <w:b w:val="false"/>
          <w:bCs w:val="false"/>
        </w:rPr>
        <w:t xml:space="preserve">3.1. Strategiile de răspuns ale mărcii</w:t>
      </w:r>
      <w:r>
        <w:t xml:space="preserve">	11</w:t>
      </w:r>
    </w:p>
    <w:p>
      <w:pPr>
        <w:tabs>
          <w:tab w:val="right" w:pos="9026" w:leader="dot"/>
        </w:tabs>
        <w:spacing w:after="40" w:line="300"/>
        <w:ind w:left="400" w:firstLine="0"/>
        <w:jc w:val="left"/>
      </w:pPr>
      <w:r>
        <w:rPr>
          <w:b w:val="false"/>
          <w:bCs w:val="false"/>
        </w:rPr>
        <w:t xml:space="preserve">3.2. Volumul discuției și timpul de răspuns</w:t>
      </w:r>
      <w:r>
        <w:t xml:space="preserve">	12</w:t>
      </w:r>
    </w:p>
    <w:p>
      <w:pPr>
        <w:tabs>
          <w:tab w:val="right" w:pos="9026" w:leader="dot"/>
        </w:tabs>
        <w:spacing w:after="40" w:line="300"/>
        <w:ind w:left="400" w:firstLine="0"/>
        <w:jc w:val="left"/>
      </w:pPr>
      <w:r>
        <w:rPr>
          <w:b w:val="false"/>
          <w:bCs w:val="false"/>
        </w:rPr>
        <w:t xml:space="preserve">3.3. Temele comentariilor</w:t>
      </w:r>
      <w:r>
        <w:t xml:space="preserve">	13</w:t>
      </w:r>
    </w:p>
    <w:p>
      <w:pPr>
        <w:tabs>
          <w:tab w:val="right" w:pos="9026" w:leader="dot"/>
        </w:tabs>
        <w:spacing w:after="40" w:line="300"/>
        <w:ind w:left="400" w:firstLine="0"/>
        <w:jc w:val="left"/>
      </w:pPr>
      <w:r>
        <w:rPr>
          <w:b w:val="false"/>
          <w:bCs w:val="false"/>
        </w:rPr>
        <w:t xml:space="preserve">3.4. Evoluția tonului comentariilor</w:t>
      </w:r>
      <w:r>
        <w:t xml:space="preserve">	14</w:t>
      </w:r>
    </w:p>
    <w:p>
      <w:pPr>
        <w:tabs>
          <w:tab w:val="right" w:pos="9026" w:leader="dot"/>
        </w:tabs>
        <w:spacing w:after="40" w:line="300"/>
        <w:ind w:left="400" w:firstLine="0"/>
        <w:jc w:val="left"/>
      </w:pPr>
      <w:r>
        <w:rPr>
          <w:b w:val="false"/>
          <w:bCs w:val="false"/>
        </w:rPr>
        <w:t xml:space="preserve">3.5. Interpretare și recomandări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Grila de codificare (fragment din manualul de codificare)</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Etapele unei crize și obiectivele comunicării în fiecare etapă</w:t>
      </w:r>
      <w:r>
        <w:t xml:space="preserve">	7</w:t>
      </w:r>
    </w:p>
    <w:p>
      <w:pPr>
        <w:tabs>
          <w:tab w:val="right" w:pos="9026" w:leader="dot"/>
        </w:tabs>
        <w:spacing w:after="40" w:line="300"/>
        <w:ind w:left="0" w:firstLine="0"/>
        <w:jc w:val="left"/>
      </w:pPr>
      <w:r>
        <w:rPr>
          <w:b w:val="false"/>
          <w:bCs w:val="false"/>
        </w:rPr>
        <w:t xml:space="preserve">Figura 2. Particularitățile unei crize pe rețelele sociale</w:t>
      </w:r>
      <w:r>
        <w:t xml:space="preserve">	8</w:t>
      </w:r>
    </w:p>
    <w:p>
      <w:pPr>
        <w:tabs>
          <w:tab w:val="right" w:pos="9026" w:leader="dot"/>
        </w:tabs>
        <w:spacing w:after="40" w:line="300"/>
        <w:ind w:left="0" w:firstLine="0"/>
        <w:jc w:val="left"/>
      </w:pPr>
      <w:r>
        <w:rPr>
          <w:b w:val="false"/>
          <w:bCs w:val="false"/>
        </w:rPr>
        <w:t xml:space="preserve">Figura 3. Cronologia crizei „Lacto X” (date fictive)</w:t>
      </w:r>
      <w:r>
        <w:t xml:space="preserve">	9</w:t>
      </w:r>
    </w:p>
    <w:p>
      <w:pPr>
        <w:tabs>
          <w:tab w:val="right" w:pos="9026" w:leader="dot"/>
        </w:tabs>
        <w:spacing w:after="40" w:line="300"/>
        <w:ind w:left="0" w:firstLine="0"/>
        <w:jc w:val="left"/>
      </w:pPr>
      <w:r>
        <w:rPr>
          <w:b w:val="false"/>
          <w:bCs w:val="false"/>
        </w:rPr>
        <w:t xml:space="preserve">Figura 4. Etapele analizei de conținut</w:t>
      </w:r>
      <w:r>
        <w:t xml:space="preserve">	9</w:t>
      </w:r>
    </w:p>
    <w:p>
      <w:pPr>
        <w:tabs>
          <w:tab w:val="right" w:pos="9026" w:leader="dot"/>
        </w:tabs>
        <w:spacing w:after="40" w:line="300"/>
        <w:ind w:left="0" w:firstLine="0"/>
        <w:jc w:val="left"/>
      </w:pPr>
      <w:r>
        <w:rPr>
          <w:b w:val="false"/>
          <w:bCs w:val="false"/>
        </w:rPr>
        <w:t xml:space="preserve">Figura 5. Strategiile dominante în cele 10 postări ale mărcii</w:t>
      </w:r>
      <w:r>
        <w:t xml:space="preserve">	11</w:t>
      </w:r>
    </w:p>
    <w:p>
      <w:pPr>
        <w:tabs>
          <w:tab w:val="right" w:pos="9026" w:leader="dot"/>
        </w:tabs>
        <w:spacing w:after="40" w:line="300"/>
        <w:ind w:left="0" w:firstLine="0"/>
        <w:jc w:val="left"/>
      </w:pPr>
      <w:r>
        <w:rPr>
          <w:b w:val="false"/>
          <w:bCs w:val="false"/>
        </w:rPr>
        <w:t xml:space="preserve">Figura 6. Numărul de comentarii la postările mărcii, pe zile</w:t>
      </w:r>
      <w:r>
        <w:t xml:space="preserve">	12</w:t>
      </w:r>
    </w:p>
    <w:p>
      <w:pPr>
        <w:tabs>
          <w:tab w:val="right" w:pos="9026" w:leader="dot"/>
        </w:tabs>
        <w:spacing w:after="40" w:line="300"/>
        <w:ind w:left="0" w:firstLine="0"/>
        <w:jc w:val="left"/>
      </w:pPr>
      <w:r>
        <w:rPr>
          <w:b w:val="false"/>
          <w:bCs w:val="false"/>
        </w:rPr>
        <w:t xml:space="preserve">Figura 7. Timpul median de răspuns al mărcii la comentarii, pe zile (ore)</w:t>
      </w:r>
      <w:r>
        <w:t xml:space="preserve">	13</w:t>
      </w:r>
    </w:p>
    <w:p>
      <w:pPr>
        <w:tabs>
          <w:tab w:val="right" w:pos="9026" w:leader="dot"/>
        </w:tabs>
        <w:spacing w:after="40" w:line="300"/>
        <w:ind w:left="0" w:firstLine="0"/>
        <w:jc w:val="left"/>
      </w:pPr>
      <w:r>
        <w:rPr>
          <w:b w:val="false"/>
          <w:bCs w:val="false"/>
        </w:rPr>
        <w:t xml:space="preserve">Figura 8. Temele comentariilor (%)</w:t>
      </w:r>
      <w:r>
        <w:t xml:space="preserve">	13</w:t>
      </w:r>
    </w:p>
    <w:p>
      <w:pPr>
        <w:tabs>
          <w:tab w:val="right" w:pos="9026" w:leader="dot"/>
        </w:tabs>
        <w:spacing w:after="40" w:line="300"/>
        <w:ind w:left="0" w:firstLine="0"/>
        <w:jc w:val="left"/>
      </w:pPr>
      <w:r>
        <w:rPr>
          <w:b w:val="false"/>
          <w:bCs w:val="false"/>
        </w:rPr>
        <w:t xml:space="preserve">Figura 9. Tonul comentariilor pe etape ale crizei (% din comentariile etapei)</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Strategiile de răspuns la criză în teoria comunicării situaționale de criză (SCCT)</w:t>
      </w:r>
      <w:r>
        <w:t xml:space="preserve">	7</w:t>
      </w:r>
    </w:p>
    <w:p>
      <w:pPr>
        <w:tabs>
          <w:tab w:val="right" w:pos="9026" w:leader="dot"/>
        </w:tabs>
        <w:spacing w:after="40" w:line="300"/>
        <w:ind w:left="0" w:firstLine="0"/>
        <w:jc w:val="left"/>
      </w:pPr>
      <w:r>
        <w:rPr>
          <w:b w:val="false"/>
          <w:bCs w:val="false"/>
        </w:rPr>
        <w:t xml:space="preserve">Tabelul 2. Grila de codificare a comentariilor (extras)</w:t>
      </w:r>
      <w:r>
        <w:t xml:space="preserve">	10</w:t>
      </w:r>
    </w:p>
    <w:p>
      <w:pPr>
        <w:tabs>
          <w:tab w:val="right" w:pos="9026" w:leader="dot"/>
        </w:tabs>
        <w:spacing w:after="40" w:line="300"/>
        <w:ind w:left="0" w:firstLine="0"/>
        <w:jc w:val="left"/>
      </w:pPr>
      <w:r>
        <w:rPr>
          <w:b w:val="false"/>
          <w:bCs w:val="false"/>
        </w:rPr>
        <w:t xml:space="preserve">Tabelul 3. Acordul dintre codificatori, pe un subeșantion de 60 de comentarii</w:t>
      </w:r>
      <w:r>
        <w:t xml:space="preserve">	10</w:t>
      </w:r>
    </w:p>
    <w:p>
      <w:pPr>
        <w:tabs>
          <w:tab w:val="right" w:pos="9026" w:leader="dot"/>
        </w:tabs>
        <w:spacing w:after="40" w:line="300"/>
        <w:ind w:left="0" w:firstLine="0"/>
        <w:jc w:val="left"/>
      </w:pPr>
      <w:r>
        <w:rPr>
          <w:b w:val="false"/>
          <w:bCs w:val="false"/>
        </w:rPr>
        <w:t xml:space="preserve">Tabelul 4. Postările mărcii „Lacto X” în perioada crizei (date fictive)</w:t>
      </w:r>
      <w:r>
        <w:t xml:space="preserve">	11</w:t>
      </w:r>
    </w:p>
    <w:p>
      <w:pPr>
        <w:tabs>
          <w:tab w:val="right" w:pos="9026" w:leader="dot"/>
        </w:tabs>
        <w:spacing w:after="40" w:line="300"/>
        <w:ind w:left="0" w:firstLine="0"/>
        <w:jc w:val="left"/>
      </w:pPr>
      <w:r>
        <w:rPr>
          <w:b w:val="false"/>
          <w:bCs w:val="false"/>
        </w:rPr>
        <w:t xml:space="preserve">Tabelul 5. Comentariile zilnice la postările mărcii și timpul median de răspuns al mărcii</w:t>
      </w:r>
      <w:r>
        <w:t xml:space="preserve">	12</w:t>
      </w:r>
    </w:p>
    <w:p>
      <w:pPr>
        <w:tabs>
          <w:tab w:val="right" w:pos="9026" w:leader="dot"/>
        </w:tabs>
        <w:spacing w:after="40" w:line="300"/>
        <w:ind w:left="0" w:firstLine="0"/>
        <w:jc w:val="left"/>
      </w:pPr>
      <w:r>
        <w:rPr>
          <w:b w:val="false"/>
          <w:bCs w:val="false"/>
        </w:rPr>
        <w:t xml:space="preserve">Tabelul 6. Temele comentariilor analizate</w:t>
      </w:r>
      <w:r>
        <w:t xml:space="preserve">	13</w:t>
      </w:r>
    </w:p>
    <w:p>
      <w:pPr>
        <w:tabs>
          <w:tab w:val="right" w:pos="9026" w:leader="dot"/>
        </w:tabs>
        <w:spacing w:after="40" w:line="300"/>
        <w:ind w:left="0" w:firstLine="0"/>
        <w:jc w:val="left"/>
      </w:pPr>
      <w:r>
        <w:rPr>
          <w:b w:val="false"/>
          <w:bCs w:val="false"/>
        </w:rPr>
        <w:t xml:space="preserve">Tabelul 7. Tonul comentariilor în funcție de etapa crizei</w:t>
      </w:r>
      <w:r>
        <w:t xml:space="preserve">	14</w:t>
      </w:r>
    </w:p>
    <w:p>
      <w:pPr>
        <w:tabs>
          <w:tab w:val="right" w:pos="9026" w:leader="dot"/>
        </w:tabs>
        <w:spacing w:after="40" w:line="300"/>
        <w:ind w:left="0" w:firstLine="0"/>
        <w:jc w:val="left"/>
      </w:pPr>
      <w:r>
        <w:rPr>
          <w:b w:val="false"/>
          <w:bCs w:val="false"/>
        </w:rPr>
        <w:t xml:space="preserve">Tabelul 8. Scorul mediu de ton pe etape ale crizei</w:t>
      </w:r>
      <w:r>
        <w:t xml:space="preserve">	14</w:t>
      </w:r>
    </w:p>
    <w:p>
      <w:pPr>
        <w:tabs>
          <w:tab w:val="right" w:pos="9026" w:leader="dot"/>
        </w:tabs>
        <w:spacing w:after="40" w:line="300"/>
        <w:ind w:left="0" w:firstLine="0"/>
        <w:jc w:val="left"/>
      </w:pPr>
      <w:r>
        <w:rPr>
          <w:b w:val="false"/>
          <w:bCs w:val="false"/>
        </w:rPr>
        <w:t xml:space="preserve">Tabelul 9. Protocolul de comunicare de criză pe rețelele sociale propus de autor</w:t>
      </w:r>
      <w:r>
        <w:t xml:space="preserve">	15</w:t>
      </w:r>
    </w:p>
    <w:p>
      <w:pPr>
        <w:pStyle w:val="Heading1"/>
        <w:pageBreakBefore/>
      </w:pPr>
      <w:commentRangeStart w:id="3"/>
      <w:r>
        <w:t xml:space="preserve">Rezumat</w:t>
      </w:r>
      <w:commentRangeEnd w:id="3"/>
      <w:r>
        <w:commentReference w:id="3"/>
      </w:r>
    </w:p>
    <w:p>
      <w:r>
        <w:t xml:space="preserve">Lucrarea analizează comunicarea de criză a unei mărci pe rețelele sociale, pornind de la teoria comunicării situaționale de criză (SCCT). Studiul de caz privește marca fictivă de lactate „Lacto X”, care a retras un lot de produse după o postare virală a unui client. Prin analiză de conținut au fost codificate cele 10 postări ale mărcii și un eșantion aleatoriu de 600 de comentarii din primele 10 zile ale crizei. Rezultatele arată că marca a trecut de la negare la strategii de reconstrucție, iar tonul comentariilor a devenit mai puțin negativ de la o etapă la alta. Cel mai mare volum de comentarii a coincis cu postările de negare și cu timpi lungi de răspuns. Pe baza rezultatelor, lucrarea propune un protocol de comunicare de criză cu acțiuni și indicatori pentru fiecare etapă.</w:t>
      </w:r>
    </w:p>
    <w:p>
      <w:pPr>
        <w:spacing w:after="400"/>
        <w:ind w:firstLine="0"/>
        <w:jc w:val="left"/>
      </w:pPr>
      <w:r>
        <w:rPr>
          <w:b/>
          <w:bCs/>
        </w:rPr>
        <w:t xml:space="preserve">Cuvinte-cheie:</w:t>
      </w:r>
      <w:r>
        <w:t xml:space="preserve"> comunicare de criză, rețele sociale, SCCT, analiză de conținut, reputație</w:t>
      </w:r>
    </w:p>
    <w:p>
      <w:pPr>
        <w:spacing w:after="200"/>
        <w:ind w:firstLine="0"/>
        <w:jc w:val="center"/>
      </w:pPr>
      <w:r>
        <w:rPr>
          <w:b/>
          <w:bCs/>
          <w:color w:val="16233F"/>
          <w:sz w:val="26"/>
          <w:szCs w:val="26"/>
        </w:rPr>
        <w:t xml:space="preserve">Abstract</w:t>
      </w:r>
    </w:p>
    <w:p>
      <w:r>
        <w:t xml:space="preserve">This thesis examines a brand's crisis communication on social media, using situational crisis communication theory (SCCT). The case study concerns the fictional dairy brand “Lacto X”, which recalled a batch of products after a customer's viral post. Using content analysis, the brand's 10 posts and a random sample of 600 user comments from the first 10 days of the crisis were coded. The results show that the brand moved from denial to rebuilding strategies, and the tone of the comments became less negative from one stage to the next. The highest volume of comments coincided with the denial posts and with long response times. Based on these results, the thesis proposes a social media crisis communication protocol with actions and indicators for each stage.</w:t>
      </w:r>
    </w:p>
    <w:p>
      <w:pPr>
        <w:ind w:firstLine="0"/>
        <w:jc w:val="left"/>
      </w:pPr>
      <w:r>
        <w:rPr>
          <w:b/>
          <w:bCs/>
        </w:rPr>
        <w:t xml:space="preserve">Keywords:</w:t>
      </w:r>
      <w:r>
        <w:t xml:space="preserve"> crisis communication, social media, SCCT, content analysis, reputation</w:t>
      </w:r>
    </w:p>
    <w:p>
      <w:pPr>
        <w:pStyle w:val="Heading1"/>
        <w:pageBreakBefore/>
      </w:pPr>
      <w:commentRangeStart w:id="4"/>
      <w:r>
        <w:t xml:space="preserve">Introducere</w:t>
      </w:r>
      <w:commentRangeEnd w:id="4"/>
      <w:r>
        <w:commentReference w:id="4"/>
      </w:r>
    </w:p>
    <w:p>
      <w:r>
        <w:t xml:space="preserve">Pe rețelele sociale, o criză de imagine se poate răspândi în câteva ore. Felul în care o marcă răspunde în primele zile influențează tonul discuției publice și, pe termen lung, reputația ei.</w:t>
      </w:r>
    </w:p>
    <w:p>
      <w:r>
        <w:t xml:space="preserve">Lucrarea analizează comunicarea mărcii fictive de lactate „Lacto X” pe pagina sa de Facebook, în cele 10 zile de după semnalarea unui lot de produse alterate. Cazul este construit pentru exemplu.</w:t>
      </w:r>
    </w:p>
    <w:p>
      <w:r>
        <w:rPr>
          <w:b/>
          <w:bCs/>
        </w:rPr>
        <w:t xml:space="preserve">Întrebările de cercetare</w:t>
      </w:r>
      <w:r>
        <w:t xml:space="preserve"> sunt:</w:t>
      </w:r>
    </w:p>
    <w:p>
      <w:pPr>
        <w:tabs>
          <w:tab w:val="left" w:pos="709"/>
        </w:tabs>
        <w:spacing w:after="60"/>
        <w:ind w:left="709" w:hanging="357" w:firstLine="0"/>
        <w:jc w:val="left"/>
      </w:pPr>
      <w:r>
        <w:t xml:space="preserve">1.	</w:t>
      </w:r>
      <w:r>
        <w:t xml:space="preserve">Ce strategii de răspuns la criză a folosit marca în postările sale?</w:t>
      </w:r>
    </w:p>
    <w:p>
      <w:pPr>
        <w:tabs>
          <w:tab w:val="left" w:pos="709"/>
        </w:tabs>
        <w:spacing w:after="60"/>
        <w:ind w:left="709" w:hanging="357" w:firstLine="0"/>
        <w:jc w:val="left"/>
      </w:pPr>
      <w:r>
        <w:t xml:space="preserve">2.	</w:t>
      </w:r>
      <w:r>
        <w:t xml:space="preserve">Cum a evoluat tonul comentariilor utilizatorilor de la o etapă a crizei la alta?</w:t>
      </w:r>
    </w:p>
    <w:p>
      <w:pPr>
        <w:tabs>
          <w:tab w:val="left" w:pos="709"/>
        </w:tabs>
        <w:spacing w:after="60"/>
        <w:ind w:left="709" w:hanging="357" w:firstLine="0"/>
        <w:jc w:val="left"/>
      </w:pPr>
      <w:r>
        <w:t xml:space="preserve">3.	</w:t>
      </w:r>
      <w:r>
        <w:t xml:space="preserve">Ce teme au dominat reacțiile publicului?</w:t>
      </w:r>
    </w:p>
    <w:p>
      <w:commentRangeStart w:id="5"/>
      <w:r>
        <w:rPr>
          <w:b/>
          <w:bCs/>
        </w:rPr>
        <w:t xml:space="preserve">Metoda</w:t>
      </w:r>
      <w:r>
        <w:t xml:space="preserve"> este analiza de conținut cantitativă, aplicată pe 10 postări ale mărcii și pe un eșantion de 600 de comentarii.</w:t>
      </w:r>
      <w:commentRangeEnd w:id="5"/>
      <w:r>
        <w:commentReference w:id="5"/>
      </w:r>
    </w:p>
    <w:p>
      <w:pPr>
        <w:pStyle w:val="Heading1"/>
        <w:pageBreakBefore/>
      </w:pPr>
      <w:commentRangeStart w:id="6"/>
      <w:r>
        <w:t xml:space="preserve">Capitolul 1. Comunicarea de criză: concepte și teorii</w:t>
      </w:r>
      <w:commentRangeEnd w:id="6"/>
      <w:r>
        <w:commentReference w:id="6"/>
      </w:r>
    </w:p>
    <w:p>
      <w:pPr>
        <w:pStyle w:val="Heading2"/>
        <w:keepNext/>
      </w:pPr>
      <w:r>
        <w:t xml:space="preserve">1.1. Criza organizațională și etapele ei</w:t>
      </w:r>
    </w:p>
    <w:p>
      <w:r>
        <w:t xml:space="preserve">O criză este un eveniment neașteptat care amenință reputația și activitatea unei organizații și cere un răspuns rapid (Popa, 2021). Literatura descrie de obicei trei momente mari: pre-criza, criza propriu-zisă și post-criza (Figura 1).</w:t>
      </w:r>
    </w:p>
    <w:p>
      <w:pPr>
        <w:keepNext/>
        <w:spacing w:after="60" w:before="160" w:line="240"/>
        <w:ind w:firstLine="0"/>
        <w:jc w:val="center"/>
      </w:pPr>
      <w:r>
        <w:drawing>
          <wp:inline distT="0" distB="0" distL="0" distR="0">
            <wp:extent cx="5762625" cy="2009775"/>
            <wp:effectExtent t="0" r="0" b="0" l="0"/>
            <wp:docPr id="1" name="Figura 1" descr="Etapele unei crize și obiectivele comunicării în fiecare etapă" title="Etapele unei crize și obiectivele comunicării în fiecare etap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Etapele unei crize și obiectivele comunicării în fiecare etapă</w:t>
      </w:r>
    </w:p>
    <w:p>
      <w:pPr>
        <w:spacing w:after="200" w:line="240"/>
        <w:ind w:firstLine="0"/>
        <w:jc w:val="center"/>
      </w:pPr>
      <w:r>
        <w:rPr>
          <w:i/>
          <w:iCs/>
          <w:color w:val="7A8191"/>
          <w:sz w:val="18"/>
          <w:szCs w:val="18"/>
        </w:rPr>
        <w:t xml:space="preserve">Sursa: Prelucrare proprie.</w:t>
      </w:r>
    </w:p>
    <w:p>
      <w:pPr>
        <w:pStyle w:val="Heading2"/>
        <w:keepNext/>
      </w:pPr>
      <w:r>
        <w:t xml:space="preserve">1.2. Teoria comunicării situaționale de criză</w:t>
      </w:r>
    </w:p>
    <w:p>
      <w:r>
        <w:t xml:space="preserve">Teoria comunicării situaționale de criză (SCCT) leagă strategia de răspuns de responsabilitatea atribuită organizației de către public (Coombs, 2007). Cu cât publicul consideră organizația mai responsabilă, cu atât sunt mai potrivite strategiile de reconstrucție: scuzele și compensarea (Tabelul 1).</w:t>
      </w:r>
    </w:p>
    <w:p>
      <w:pPr>
        <w:keepNext/>
        <w:spacing w:after="80" w:before="200" w:line="260"/>
        <w:ind w:firstLine="0"/>
        <w:jc w:val="left"/>
      </w:pPr>
      <w:r>
        <w:rPr>
          <w:b/>
          <w:bCs/>
          <w:sz w:val="22"/>
          <w:szCs w:val="22"/>
        </w:rPr>
        <w:t xml:space="preserve">Tabelul 1.</w:t>
      </w:r>
      <w:r>
        <w:rPr>
          <w:sz w:val="22"/>
          <w:szCs w:val="22"/>
        </w:rPr>
        <w:t xml:space="preserve"> Strategiile de răspuns la criză în teoria comunicării situaționale de criză (SCCT)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33"/>
        <w:gridCol w:w="2971"/>
        <w:gridCol w:w="4066"/>
      </w:tblGrid>
      <w:tr>
        <w:trPr>
          <w:tblHeader/>
        </w:trPr>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Grupul de strategii</w:t>
            </w:r>
          </w:p>
        </w:tc>
        <w:tc>
          <w:tcPr>
            <w:tcW w:type="dxa" w:w="2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Strategii</w:t>
            </w:r>
          </w:p>
        </w:tc>
        <w:tc>
          <w:tcPr>
            <w:tcW w:type="dxa" w:w="40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mesaj (formulat pentru exemplu)</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Negare</w:t>
            </w:r>
          </w:p>
        </w:tc>
        <w:tc>
          <w:tcPr>
            <w:tcW w:type="dxa" w:w="2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Atacarea acuzatorului, negarea, găsirea unui țap ispășitor</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„Informațiile care circulă sunt false.”</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Diminuare</w:t>
            </w:r>
          </w:p>
        </w:tc>
        <w:tc>
          <w:tcPr>
            <w:tcW w:type="dxa" w:w="2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Scuza, justificarea</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„Problema a apărut la un singur lot, din cauza unui furnizor.”</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2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Compensarea, scuzele</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 cerem scuze și rambursăm integral produsele.”</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Consolidare (secundară)</w:t>
            </w:r>
          </w:p>
        </w:tc>
        <w:tc>
          <w:tcPr>
            <w:tcW w:type="dxa" w:w="2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Reamintirea faptelor bune, flatarea publicului, victimizarea</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 20 de ani punem siguranța clienților pe primul loc.”</w:t>
            </w:r>
          </w:p>
        </w:tc>
      </w:tr>
    </w:tbl>
    <w:p>
      <w:pPr>
        <w:spacing w:after="200" w:before="40" w:line="240"/>
        <w:ind w:firstLine="0"/>
        <w:jc w:val="left"/>
      </w:pPr>
      <w:r>
        <w:rPr>
          <w:i/>
          <w:iCs/>
          <w:color w:val="7A8191"/>
          <w:sz w:val="18"/>
          <w:szCs w:val="18"/>
        </w:rPr>
        <w:t xml:space="preserve">Sursa: Adaptare după Coombs (2007); exemplele de mesaje sunt formulate pentru acest exemplu.</w:t>
      </w:r>
    </w:p>
    <w:p>
      <w:r>
        <w:t xml:space="preserve">Retragerea unui produs din cauza unei erori tehnice face parte, în SCCT, din grupul crizelor accidentale. Dacă organizația a mai avut crize similare, teoria recomandă totuși strategii de reconstrucție (Coombs, 2007). „Lacto X” mai avusese o retragere de produse cu doi ani înainte (situație fictivă).</w:t>
      </w:r>
    </w:p>
    <w:p>
      <w:pPr>
        <w:pStyle w:val="Heading2"/>
        <w:keepNext/>
      </w:pPr>
      <w:r>
        <w:t xml:space="preserve">1.3. Specificul crizelor pe rețelele sociale</w:t>
      </w:r>
    </w:p>
    <w:p>
      <w:r>
        <w:t xml:space="preserve">Pe rețelele sociale publicul nu doar primește mesajele, ci le comentează și le distribuie (Figura 2). Viteza de răspuns și dialogul cu utilizatorii devin la fel de importante ca mesajul în sine (Ionescu și Dima, 2022).</w:t>
      </w:r>
    </w:p>
    <w:p>
      <w:pPr>
        <w:keepNext/>
        <w:spacing w:after="60" w:before="160" w:line="240"/>
        <w:ind w:firstLine="0"/>
        <w:jc w:val="center"/>
      </w:pPr>
      <w:r>
        <w:drawing>
          <wp:inline distT="0" distB="0" distL="0" distR="0">
            <wp:extent cx="5762625" cy="2924175"/>
            <wp:effectExtent t="0" r="0" b="0" l="0"/>
            <wp:docPr id="2" name="Figura 2" descr="Particularitățile unei crize pe rețelele sociale" title="Particularitățile unei crize pe rețelele so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Particularitățile unei crize pe rețelele sociale</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Corpusul și eșantionul</w:t>
      </w:r>
    </w:p>
    <w:p>
      <w:r>
        <w:t xml:space="preserve">Corpusul cuprinde cele 10 postări publicate de marcă pe pagina sa de Facebook între zilele 1 și 10 ale crizei (Figura 3) și cele 4 820 de comentarii primite de acestea. Din comentarii a fost extras un eșantion aleatoriu de 600, codificat manual.</w:t>
      </w:r>
    </w:p>
    <w:p>
      <w:pPr>
        <w:keepNext/>
        <w:spacing w:after="60" w:before="160" w:line="240"/>
        <w:ind w:firstLine="0"/>
        <w:jc w:val="center"/>
      </w:pPr>
      <w:r>
        <w:drawing>
          <wp:inline distT="0" distB="0" distL="0" distR="0">
            <wp:extent cx="5762625" cy="2286000"/>
            <wp:effectExtent t="0" r="0" b="0" l="0"/>
            <wp:docPr id="3" name="Figura 3" descr="Cronologia crizei „Lacto X” (date fictive)" title="Cronologia crizei „Lacto X” (date fi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Cronologia crizei „Lacto X” (date fictive)</w:t>
      </w:r>
    </w:p>
    <w:p>
      <w:pPr>
        <w:spacing w:after="200" w:line="240"/>
        <w:ind w:firstLine="0"/>
        <w:jc w:val="center"/>
      </w:pPr>
      <w:r>
        <w:rPr>
          <w:i/>
          <w:iCs/>
          <w:color w:val="7A8191"/>
          <w:sz w:val="18"/>
          <w:szCs w:val="18"/>
        </w:rPr>
        <w:t xml:space="preserve">Sursa: Prelucrare proprie.</w:t>
      </w:r>
    </w:p>
    <w:p>
      <w:r>
        <w:t xml:space="preserve">Unitatea de analiză este comentariul individual (pentru reacțiile publicului) și postarea (pentru strategiile mărcii). Etapele analizei sunt prezentate în Figura 4.</w:t>
      </w:r>
    </w:p>
    <w:p>
      <w:pPr>
        <w:keepNext/>
        <w:spacing w:after="60" w:before="160" w:line="240"/>
        <w:ind w:firstLine="0"/>
        <w:jc w:val="center"/>
      </w:pPr>
      <w:r>
        <w:drawing>
          <wp:inline distT="0" distB="0" distL="0" distR="0">
            <wp:extent cx="5762625" cy="2105025"/>
            <wp:effectExtent t="0" r="0" b="0" l="0"/>
            <wp:docPr id="4" name="Figura 4" descr="Etapele analizei de conținut" title="Etapele analizei de conți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Etapele analizei de conținut</w:t>
      </w:r>
    </w:p>
    <w:p>
      <w:pPr>
        <w:spacing w:after="200" w:line="240"/>
        <w:ind w:firstLine="0"/>
        <w:jc w:val="center"/>
      </w:pPr>
      <w:r>
        <w:rPr>
          <w:i/>
          <w:iCs/>
          <w:color w:val="7A8191"/>
          <w:sz w:val="18"/>
          <w:szCs w:val="18"/>
        </w:rPr>
        <w:t xml:space="preserve">Sursa: Prelucrare proprie.</w:t>
      </w:r>
    </w:p>
    <w:p>
      <w:pPr>
        <w:pStyle w:val="Heading2"/>
        <w:keepNext/>
      </w:pPr>
      <w:r>
        <w:t xml:space="preserve">2.2. Grila de codificare</w:t>
      </w:r>
    </w:p>
    <w:p>
      <w:pPr>
        <w:keepNext/>
        <w:spacing w:after="80" w:before="200" w:line="260"/>
        <w:ind w:firstLine="0"/>
        <w:jc w:val="left"/>
      </w:pPr>
      <w:r>
        <w:rPr>
          <w:b/>
          <w:bCs/>
          <w:sz w:val="22"/>
          <w:szCs w:val="22"/>
        </w:rPr>
        <w:t xml:space="preserve">Tabelul 2.</w:t>
      </w:r>
      <w:r>
        <w:rPr>
          <w:sz w:val="22"/>
          <w:szCs w:val="22"/>
        </w:rPr>
        <w:t xml:space="preserve"> Grila de codificare a comentariilor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76"/>
        <w:gridCol w:w="3753"/>
        <w:gridCol w:w="3440"/>
      </w:tblGrid>
      <w:tr>
        <w:trPr>
          <w:tblHeader/>
        </w:trPr>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Categorii</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Regula de codificare</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Etapa crizei</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Izbucnire (zilele 1–2), escaladare (3–5), stabilizare (6–10)</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După data comentariului</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Tonul (scor −2…+2)</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foarte negativ … 0 neutru … +2 foarte pozitiv</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Tonul general față de marcă, nu față de alți utilizatori</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Tonul (categorie)</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Negativ (−2, −1), neutru (0), pozitiv (+1, +2)</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Derivat din scor</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Tema</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Siguranță, critici, informații și rambursare, sprijin, ironie, altele</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 singură temă, cea dominantă</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Strategia mărcii (postări)</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Negare, diminuare, reconstrucție, consolidare</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Strategia dominantă a postării (Tabelul 1)</w:t>
            </w:r>
          </w:p>
        </w:tc>
      </w:tr>
    </w:tbl>
    <w:p>
      <w:pPr>
        <w:keepNext/>
        <w:spacing w:after="0" w:before="60" w:line="240"/>
        <w:ind w:firstLine="0"/>
        <w:jc w:val="left"/>
      </w:pPr>
      <w:r>
        <w:rPr>
          <w:i/>
          <w:iCs/>
          <w:sz w:val="18"/>
          <w:szCs w:val="18"/>
        </w:rPr>
        <w:t xml:space="preserve">Notă.</w:t>
      </w:r>
      <w:r>
        <w:rPr>
          <w:sz w:val="18"/>
          <w:szCs w:val="18"/>
        </w:rPr>
        <w:t xml:space="preserve"> Grila completă, cu definiții și exemple pentru fiecare categorie, este în Anexa 1.</w:t>
      </w:r>
    </w:p>
    <w:p>
      <w:pPr>
        <w:spacing w:after="200" w:before="40" w:line="240"/>
        <w:ind w:firstLine="0"/>
        <w:jc w:val="left"/>
      </w:pPr>
      <w:r>
        <w:rPr>
          <w:i/>
          <w:iCs/>
          <w:color w:val="7A8191"/>
          <w:sz w:val="18"/>
          <w:szCs w:val="18"/>
        </w:rPr>
        <w:t xml:space="preserve">Sursa: Instrument propriu (exemplu).</w:t>
      </w:r>
    </w:p>
    <w:p>
      <w:r>
        <w:t xml:space="preserve">Pentru a verifica fidelitatea grilei, un al doilea codificator a analizat independent 60 de comentarii. Valorile kappa sunt peste 0,75 pentru toate variabilele (Tabelul 3), ceea ce arată un acord bun între codificatori.</w:t>
      </w:r>
    </w:p>
    <w:p>
      <w:pPr>
        <w:keepNext/>
        <w:spacing w:after="80" w:before="200" w:line="260"/>
        <w:ind w:firstLine="0"/>
        <w:jc w:val="left"/>
      </w:pPr>
      <w:r>
        <w:rPr>
          <w:b/>
          <w:bCs/>
          <w:sz w:val="22"/>
          <w:szCs w:val="22"/>
        </w:rPr>
        <w:t xml:space="preserve">Tabelul 3.</w:t>
      </w:r>
      <w:r>
        <w:rPr>
          <w:sz w:val="22"/>
          <w:szCs w:val="22"/>
        </w:rPr>
        <w:t xml:space="preserve"> Acordul dintre codificatori, pe un subeșantion de 60 de comentarii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Acord procentual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Kappa Cohen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Interpretare</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Tonul (categorie)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88,3%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Acord foarte bun</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Tema</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81,7%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0,76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Acord bun</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Etapa crizei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Variabilă obiectivă (data)</w:t>
            </w:r>
          </w:p>
        </w:tc>
      </w:tr>
    </w:tbl>
    <w:p>
      <w:pPr>
        <w:spacing w:after="200" w:before="40" w:line="240"/>
        <w:ind w:firstLine="0"/>
        <w:jc w:val="left"/>
      </w:pPr>
      <w:commentRangeStart w:id="10"/>
      <w:commentRangeStart w:id="9"/>
      <w:r>
        <w:rPr>
          <w:i/>
          <w:iCs/>
          <w:color w:val="7A8191"/>
          <w:sz w:val="18"/>
          <w:szCs w:val="18"/>
        </w:rPr>
        <w:t xml:space="preserve">Sursa: Date fictive, construite pentru exemplu.</w:t>
      </w:r>
      <w:commentRangeEnd w:id="9"/>
      <w:r>
        <w:commentReference w:id="9"/>
      </w:r>
      <w:commentRangeEnd w:id="10"/>
      <w:r>
        <w:commentReference w:id="10"/>
      </w:r>
    </w:p>
    <w:p>
      <w:pPr>
        <w:pStyle w:val="Heading1"/>
        <w:pageBreakBefore/>
      </w:pPr>
      <w:commentRangeStart w:id="11"/>
      <w:r>
        <w:t xml:space="preserve">Capitolul 3. Analiza comunicării de criză a mărcii „Lacto X”</w:t>
      </w:r>
      <w:commentRangeEnd w:id="11"/>
      <w:r>
        <w:commentReference w:id="11"/>
      </w:r>
    </w:p>
    <w:p>
      <w:pPr>
        <w:pStyle w:val="Heading2"/>
        <w:keepNext/>
      </w:pPr>
      <w:r>
        <w:t xml:space="preserve">3.1. Strategiile de răspuns ale mărcii</w:t>
      </w:r>
    </w:p>
    <w:p>
      <w:r>
        <w:t xml:space="preserve">În primele două postări marca a negat problema, iar după anunțul retragerii a trecut la diminuare și apoi la reconstrucție: scuze, rambursare și dovezi ale schimbării (Tabelul 4, Figura 5). Cele mai multe comentarii au primit tocmai postările de negare din ziua 1.</w:t>
      </w:r>
    </w:p>
    <w:p>
      <w:pPr>
        <w:keepNext/>
        <w:spacing w:after="80" w:before="200" w:line="260"/>
        <w:ind w:firstLine="0"/>
        <w:jc w:val="left"/>
      </w:pPr>
      <w:r>
        <w:rPr>
          <w:b/>
          <w:bCs/>
          <w:sz w:val="22"/>
          <w:szCs w:val="22"/>
        </w:rPr>
        <w:t xml:space="preserve">Tabelul 4.</w:t>
      </w:r>
      <w:r>
        <w:rPr>
          <w:sz w:val="22"/>
          <w:szCs w:val="22"/>
        </w:rPr>
        <w:t xml:space="preserve"> Postările mărcii „Lacto X” în perioada crizei (date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28"/>
        <w:gridCol w:w="907"/>
        <w:gridCol w:w="1965"/>
        <w:gridCol w:w="1209"/>
        <w:gridCol w:w="1360"/>
      </w:tblGrid>
      <w:tr>
        <w:trPr>
          <w:tblHeader/>
        </w:trPr>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Postarea</w:t>
            </w:r>
          </w:p>
        </w:tc>
        <w:tc>
          <w:tcPr>
            <w:tcW w:type="dxa" w:w="9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Ziua</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Strategia dominantă</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Reacții</w:t>
            </w:r>
          </w:p>
        </w:tc>
        <w:tc>
          <w:tcPr>
            <w:tcW w:type="dxa" w:w="136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Comentarii</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P1. „Verificăm informațiile apărute online”</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Negare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1 240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P2. „Produsele noastre respectă toate normele”</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Negare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980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1 120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 Anunțul retragerii lotului</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Diminuare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1 610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740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 Explicația: eroare tehnică la o linie de ambalare</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Diminuare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870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P5. Scuze publice din partea directorului general</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2 350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610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P6. Procedura de rambursare, pas cu pas</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1 180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P7. Video din fabrică: ce s-a schimbat</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1 920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P8. Răspunsuri la întrebările frecvente</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640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P9. Mulțumiri pentru răbdare</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Consolidare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1 050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P10. Rezultatele auditului extern</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1 430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13 270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4 820</w:t>
            </w:r>
          </w:p>
        </w:tc>
      </w:tr>
    </w:tbl>
    <w:p>
      <w:pPr>
        <w:spacing w:after="200" w:before="40" w:line="240"/>
        <w:ind w:firstLine="0"/>
        <w:jc w:val="left"/>
      </w:pPr>
      <w:r>
        <w:rPr>
          <w:i/>
          <w:iCs/>
          <w:color w:val="7A8191"/>
          <w:sz w:val="18"/>
          <w:szCs w:val="18"/>
        </w:rPr>
        <w:t xml:space="preserve">Sursa: Date fictive, construite pentru exemplu.</w:t>
      </w:r>
    </w:p>
    <w:p>
      <w:pPr>
        <w:keepNext/>
        <w:spacing w:after="60" w:before="160" w:line="240"/>
        <w:ind w:firstLine="0"/>
        <w:jc w:val="center"/>
      </w:pPr>
      <w:r>
        <w:drawing>
          <wp:inline distT="0" distB="0" distL="0" distR="0">
            <wp:extent cx="4572000" cy="2286000"/>
            <wp:effectExtent t="0" r="0" b="0" l="0"/>
            <wp:docPr id="5" name="Figura 5" descr="Strategiile dominante în cele 10 postări ale mărcii" title="Strategiile dominante în cele 10 postări ale măr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22860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Strategiile dominante în cele 10 postări ale mărcii</w:t>
      </w:r>
    </w:p>
    <w:p>
      <w:pPr>
        <w:spacing w:after="200" w:line="240"/>
        <w:ind w:firstLine="0"/>
        <w:jc w:val="center"/>
      </w:pPr>
      <w:r>
        <w:rPr>
          <w:i/>
          <w:iCs/>
          <w:color w:val="7A8191"/>
          <w:sz w:val="18"/>
          <w:szCs w:val="18"/>
        </w:rPr>
        <w:t xml:space="preserve">Sursa: Prelucrare proprie.</w:t>
      </w:r>
    </w:p>
    <w:p>
      <w:pPr>
        <w:pStyle w:val="Heading2"/>
        <w:keepNext/>
      </w:pPr>
      <w:r>
        <w:t xml:space="preserve">3.2. Volumul discuției și timpul de răspuns</w:t>
      </w:r>
    </w:p>
    <w:p>
      <w:r>
        <w:t xml:space="preserve">Numărul de comentarii a fost maxim în prima zi și a scăzut apoi, cu un nou vârf în ziua 4, după scuzele publice (Tabelul 5, Figura 6). În paralel, timpul median de răspuns al mărcii la comentarii a scăzut de la 9,5 ore în ziua 1 la sub o oră în ziua 10 (Figura 7).</w:t>
      </w:r>
    </w:p>
    <w:p>
      <w:pPr>
        <w:keepNext/>
        <w:spacing w:after="80" w:before="200" w:line="260"/>
        <w:ind w:firstLine="0"/>
        <w:jc w:val="left"/>
      </w:pPr>
      <w:r>
        <w:rPr>
          <w:b/>
          <w:bCs/>
          <w:sz w:val="22"/>
          <w:szCs w:val="22"/>
        </w:rPr>
        <w:t xml:space="preserve">Tabelul 5.</w:t>
      </w:r>
      <w:r>
        <w:rPr>
          <w:sz w:val="22"/>
          <w:szCs w:val="22"/>
        </w:rPr>
        <w:t xml:space="preserve"> Comentariile zilnice la postările mărcii și timpul median de răspuns al mărcii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Ziua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Comentarii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Timp median de răspuns (ore)</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1 980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940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Z9</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Z10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4 820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Comentariile sunt atribuite zilei în care a fost publicată postarea. În zilele 5 și 8 marca nu a publicat postări noi.</w:t>
      </w:r>
    </w:p>
    <w:p>
      <w:pPr>
        <w:spacing w:after="200" w:before="40" w:line="240"/>
        <w:ind w:firstLine="0"/>
        <w:jc w:val="left"/>
      </w:pPr>
      <w:r>
        <w:rPr>
          <w:i/>
          <w:iCs/>
          <w:color w:val="7A8191"/>
          <w:sz w:val="18"/>
          <w:szCs w:val="18"/>
        </w:rPr>
        <w:t xml:space="preserve">Sursa: Date fictive, construite pentru exemplu.</w:t>
      </w:r>
    </w:p>
    <w:p>
      <w:pPr>
        <w:keepNext/>
        <w:spacing w:after="60" w:before="160" w:line="240"/>
        <w:ind w:firstLine="0"/>
        <w:jc w:val="center"/>
      </w:pPr>
      <w:r>
        <w:drawing>
          <wp:inline distT="0" distB="0" distL="0" distR="0">
            <wp:extent cx="5486400" cy="2381250"/>
            <wp:effectExtent t="0" r="0" b="0" l="0"/>
            <wp:docPr id="6" name="Figura 6" descr="Numărul de comentarii la postările mărcii, pe zile" title="Numărul de comentarii la postările mărcii, pe z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Numărul de comentarii la postările mărcii, pe zile</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486400" cy="2381250"/>
            <wp:effectExtent t="0" r="0" b="0" l="0"/>
            <wp:docPr id="7" name="Figura 7" descr="Timpul median de răspuns al mărcii la comentarii, pe zile (ore)" title="Timpul median de răspuns al mărcii la comentarii, pe zile (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38125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Timpul median de răspuns al mărcii la comentarii, pe zile (ore)</w:t>
      </w:r>
    </w:p>
    <w:p>
      <w:pPr>
        <w:spacing w:after="200" w:line="240"/>
        <w:ind w:firstLine="0"/>
        <w:jc w:val="center"/>
      </w:pPr>
      <w:r>
        <w:rPr>
          <w:i/>
          <w:iCs/>
          <w:color w:val="7A8191"/>
          <w:sz w:val="18"/>
          <w:szCs w:val="18"/>
        </w:rPr>
        <w:t xml:space="preserve">Sursa: Prelucrare proprie.</w:t>
      </w:r>
    </w:p>
    <w:p>
      <w:pPr>
        <w:pStyle w:val="Heading2"/>
        <w:keepNext/>
      </w:pPr>
      <w:r>
        <w:t xml:space="preserve">3.3. Temele comentariilor</w:t>
      </w:r>
    </w:p>
    <w:p>
      <w:r>
        <w:t xml:space="preserve">Cele mai frecvente teme au fost siguranța produsului (27,8%) și criticile la adresa mărcii (23,7%). Comentariile de sprijin au reprezentat doar 12,7% (Tabelul 6, Figura 8).</w:t>
      </w:r>
    </w:p>
    <w:p>
      <w:pPr>
        <w:keepNext/>
        <w:spacing w:after="80" w:before="200" w:line="260"/>
        <w:ind w:firstLine="0"/>
        <w:jc w:val="left"/>
      </w:pPr>
      <w:r>
        <w:rPr>
          <w:b/>
          <w:bCs/>
          <w:sz w:val="22"/>
          <w:szCs w:val="22"/>
        </w:rPr>
        <w:t xml:space="preserve">Tabelul 6.</w:t>
      </w:r>
      <w:r>
        <w:rPr>
          <w:sz w:val="22"/>
          <w:szCs w:val="22"/>
        </w:rPr>
        <w:t xml:space="preserve"> Temele comentariilor analizate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Siguranța produsului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Critici la adresa mărcii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Cereri de informații și rambursare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Sprijin pentru marcă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Altele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Ironie și glume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466975"/>
            <wp:effectExtent t="0" r="0" b="0" l="0"/>
            <wp:docPr id="8" name="Figura 8" descr="Temele comentariilor (%)" title="Temele comentarii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Temele comentariilor (%)</w:t>
      </w:r>
    </w:p>
    <w:p>
      <w:pPr>
        <w:spacing w:after="200" w:line="240"/>
        <w:ind w:firstLine="0"/>
        <w:jc w:val="center"/>
      </w:pPr>
      <w:r>
        <w:rPr>
          <w:i/>
          <w:iCs/>
          <w:color w:val="7A8191"/>
          <w:sz w:val="18"/>
          <w:szCs w:val="18"/>
        </w:rPr>
        <w:t xml:space="preserve">Sursa: Prelucrare proprie.</w:t>
      </w:r>
    </w:p>
    <w:p>
      <w:pPr>
        <w:pStyle w:val="Heading2"/>
        <w:keepNext/>
      </w:pPr>
      <w:r>
        <w:t xml:space="preserve">3.4. Evoluția tonului comentariilor</w:t>
      </w:r>
    </w:p>
    <w:p>
      <w:r>
        <w:t xml:space="preserve">Tonul comentariilor diferă semnificativ între etapele crizei, χ²(4, N = 600) = 98,52, p &lt; 0,001, V Cramer = 0,29 (Tabelul 7, Figura 9). Ponderea comentariilor negative este cea mai mare la izbucnirea crizei și scade în etapa de stabilizare.</w:t>
      </w:r>
    </w:p>
    <w:p>
      <w:pPr>
        <w:keepNext/>
        <w:spacing w:after="80" w:before="200" w:line="260"/>
        <w:ind w:firstLine="0"/>
        <w:jc w:val="left"/>
      </w:pPr>
      <w:r>
        <w:rPr>
          <w:b/>
          <w:bCs/>
          <w:sz w:val="22"/>
          <w:szCs w:val="22"/>
        </w:rPr>
        <w:t xml:space="preserve">Tabelul 7.</w:t>
      </w:r>
      <w:r>
        <w:rPr>
          <w:sz w:val="22"/>
          <w:szCs w:val="22"/>
        </w:rPr>
        <w:t xml:space="preserve"> Tonul comentariilor în funcție de etapa crizei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Etapa crizei / Tonul comentariului</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Negativ</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Neutru</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Pozitiv</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Izbucnire (zilele 1–2)</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142 (61,5%)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71 (30,7%)</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 (7,8%)</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231</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Escaladare (zilele 3–5)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103 (45,0%)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86 (37,6%)</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 (17,5%)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229</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Stabilizare (zilele 6–10)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 (20,7%)</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 (32,9%)</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 (46,4%)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140</w:t>
            </w:r>
          </w:p>
        </w:tc>
      </w:tr>
    </w:tbl>
    <w:p>
      <w:pPr>
        <w:keepNext/>
        <w:spacing w:after="0" w:before="60" w:line="240"/>
        <w:ind w:firstLine="0"/>
        <w:jc w:val="left"/>
      </w:pPr>
      <w:r>
        <w:rPr>
          <w:i/>
          <w:iCs/>
          <w:sz w:val="18"/>
          <w:szCs w:val="18"/>
        </w:rPr>
        <w:t xml:space="preserve">Notă.</w:t>
      </w:r>
      <w:r>
        <w:rPr>
          <w:sz w:val="18"/>
          <w:szCs w:val="18"/>
        </w:rPr>
        <w:t xml:space="preserve"> χ²(4, N = 600) = 98,52, p &lt; 0,001, V Cramer = 0,29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743200"/>
            <wp:effectExtent t="0" r="0" b="0" l="0"/>
            <wp:docPr id="9" name="Figura 9" descr="Tonul comentariilor pe etape ale crizei (% din comentariile etapei)" title="Tonul comentariilor pe etape ale crizei (% din comentariile etap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9.</w:t>
      </w:r>
      <w:r>
        <w:rPr>
          <w:sz w:val="22"/>
          <w:szCs w:val="22"/>
        </w:rPr>
        <w:t xml:space="preserve"> Tonul comentariilor pe etape ale crizei (% din comentariile etapei)</w:t>
      </w:r>
    </w:p>
    <w:p>
      <w:pPr>
        <w:spacing w:after="200" w:line="240"/>
        <w:ind w:firstLine="0"/>
        <w:jc w:val="center"/>
      </w:pPr>
      <w:r>
        <w:rPr>
          <w:i/>
          <w:iCs/>
          <w:color w:val="7A8191"/>
          <w:sz w:val="18"/>
          <w:szCs w:val="18"/>
        </w:rPr>
        <w:t xml:space="preserve">Sursa: Prelucrare proprie.</w:t>
      </w:r>
    </w:p>
    <w:p>
      <w:r>
        <w:t xml:space="preserve">Scorul mediu de ton crește de la −0,77 la izbucnire la 0,37 în etapa de stabilizare, F(2, 597) = 63,38, p &lt; 0,001, η² = 0,18 (Tabelul 8). Tonul mediu devine ușor pozitiv abia în etapa de stabilizare.</w:t>
      </w:r>
    </w:p>
    <w:p>
      <w:pPr>
        <w:keepNext/>
        <w:spacing w:after="80" w:before="200" w:line="260"/>
        <w:ind w:firstLine="0"/>
        <w:jc w:val="left"/>
      </w:pPr>
      <w:r>
        <w:rPr>
          <w:b/>
          <w:bCs/>
          <w:sz w:val="22"/>
          <w:szCs w:val="22"/>
        </w:rPr>
        <w:t xml:space="preserve">Tabelul 8.</w:t>
      </w:r>
      <w:r>
        <w:rPr>
          <w:sz w:val="22"/>
          <w:szCs w:val="22"/>
        </w:rPr>
        <w:t xml:space="preserve"> Scorul mediu de ton pe etape ale crizei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Etapa crizei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Izbucnire (zilele 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0,91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Escaladare (zilele 3–5)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0,94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Stabilizare (zilele 6–10)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1,03</w:t>
            </w:r>
          </w:p>
        </w:tc>
      </w:tr>
    </w:tbl>
    <w:p>
      <w:pPr>
        <w:keepNext/>
        <w:spacing w:after="0" w:before="60" w:line="240"/>
        <w:ind w:firstLine="0"/>
        <w:jc w:val="left"/>
      </w:pPr>
      <w:r>
        <w:rPr>
          <w:i/>
          <w:iCs/>
          <w:sz w:val="18"/>
          <w:szCs w:val="18"/>
        </w:rPr>
        <w:t xml:space="preserve">Notă.</w:t>
      </w:r>
      <w:r>
        <w:rPr>
          <w:sz w:val="18"/>
          <w:szCs w:val="18"/>
        </w:rPr>
        <w:t xml:space="preserve"> F(2, 597) = 63,38, p &lt; 0,001, η² = 0,18</w:t>
      </w:r>
    </w:p>
    <w:p>
      <w:pPr>
        <w:spacing w:after="200" w:before="40" w:line="240"/>
        <w:ind w:firstLine="0"/>
        <w:jc w:val="left"/>
      </w:pPr>
      <w:commentRangeStart w:id="12"/>
      <w:r>
        <w:rPr>
          <w:i/>
          <w:iCs/>
          <w:color w:val="7A8191"/>
          <w:sz w:val="18"/>
          <w:szCs w:val="18"/>
        </w:rPr>
        <w:t xml:space="preserve">Sursa: Prelucrare proprie pe baza datelor simulate.</w:t>
      </w:r>
      <w:commentRangeEnd w:id="12"/>
      <w:r>
        <w:commentReference w:id="12"/>
      </w:r>
    </w:p>
    <w:p>
      <w:pPr>
        <w:pStyle w:val="Heading2"/>
        <w:keepNext/>
      </w:pPr>
      <w:r>
        <w:t xml:space="preserve">3.5. Interpretare și recomandări</w:t>
      </w:r>
    </w:p>
    <w:p>
      <w:r>
        <w:t xml:space="preserve">Rezultatele confirmă predicția SCCT: negarea din prima zi a coincis cu cel mai mare volum de comentarii și cu tonul cel mai negativ, iar tonul s-a îmbunătățit după trecerea la scuze și compensare. Întârzierea răspunsurilor din primele zile a lăsat discuția în seama utilizatorilor.</w:t>
      </w:r>
    </w:p>
    <w:p>
      <w:r>
        <w:t xml:space="preserve">Pe baza acestor rezultate, propunem un protocol de comunicare de criză pe rețelele sociale, cu acțiuni și indicatori pentru fiecare moment al crizei (Tabelul 9).</w:t>
      </w:r>
    </w:p>
    <w:p>
      <w:pPr>
        <w:keepNext/>
        <w:spacing w:after="80" w:before="200" w:line="260"/>
        <w:ind w:firstLine="0"/>
        <w:jc w:val="left"/>
      </w:pPr>
      <w:r>
        <w:rPr>
          <w:b/>
          <w:bCs/>
          <w:sz w:val="22"/>
          <w:szCs w:val="22"/>
        </w:rPr>
        <w:t xml:space="preserve">Tabelul 9.</w:t>
      </w:r>
      <w:r>
        <w:rPr>
          <w:sz w:val="22"/>
          <w:szCs w:val="22"/>
        </w:rPr>
        <w:t xml:space="preserve"> Protocolul de comunicare de criză pe rețelele sociale propus de autor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20"/>
        <w:gridCol w:w="4691"/>
        <w:gridCol w:w="2658"/>
      </w:tblGrid>
      <w:tr>
        <w:trPr>
          <w:tblHeader/>
        </w:trPr>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Momentul</w:t>
            </w:r>
          </w:p>
        </w:tc>
        <w:tc>
          <w:tcPr>
            <w:tcW w:type="dxa" w:w="4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Acțiunea</w:t>
            </w:r>
          </w:p>
        </w:tc>
        <w:tc>
          <w:tcPr>
            <w:tcW w:type="dxa" w:w="26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de urmărit</w:t>
            </w:r>
          </w:p>
        </w:tc>
      </w:tr>
      <w:tr>
        <w:trPr>
          <w:cantSplit/>
        </w:trPr>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Prima oră</w:t>
            </w:r>
          </w:p>
        </w:tc>
        <w:tc>
          <w:tcPr>
            <w:tcW w:type="dxa" w:w="4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Mesaj de recunoaștere a problemei: ce știm, ce verificăm, când revenim</w:t>
            </w:r>
          </w:p>
        </w:tc>
        <w:tc>
          <w:tcPr>
            <w:tcW w:type="dxa" w:w="26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până la prima postare</w:t>
            </w:r>
          </w:p>
        </w:tc>
      </w:tr>
      <w:tr>
        <w:trPr>
          <w:cantSplit/>
        </w:trPr>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Primele 24 de ore</w:t>
            </w:r>
          </w:p>
        </w:tc>
        <w:tc>
          <w:tcPr>
            <w:tcW w:type="dxa" w:w="4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Strategie de reconstrucție: scuze, instrucțiuni clare de rambursare, fără negare</w:t>
            </w:r>
          </w:p>
        </w:tc>
        <w:tc>
          <w:tcPr>
            <w:tcW w:type="dxa" w:w="26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Ponderea comentariilor negative</w:t>
            </w:r>
          </w:p>
        </w:tc>
      </w:tr>
      <w:tr>
        <w:trPr>
          <w:cantSplit/>
        </w:trPr>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Zilele 2–5</w:t>
            </w:r>
          </w:p>
        </w:tc>
        <w:tc>
          <w:tcPr>
            <w:tcW w:type="dxa" w:w="4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Răspunsuri la comentarii în cel mult 2 ore; postare zilnică de actualizare</w:t>
            </w:r>
          </w:p>
        </w:tc>
        <w:tc>
          <w:tcPr>
            <w:tcW w:type="dxa" w:w="26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median de răspuns</w:t>
            </w:r>
          </w:p>
        </w:tc>
      </w:tr>
      <w:tr>
        <w:trPr>
          <w:cantSplit/>
        </w:trPr>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După criză</w:t>
            </w:r>
          </w:p>
        </w:tc>
        <w:tc>
          <w:tcPr>
            <w:tcW w:type="dxa" w:w="4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Dovezi ale schimbării (audit, video din fabrică); evaluarea comunicării</w:t>
            </w:r>
          </w:p>
        </w:tc>
        <w:tc>
          <w:tcPr>
            <w:tcW w:type="dxa" w:w="26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Scorul mediu de ton</w:t>
            </w:r>
          </w:p>
        </w:tc>
      </w:tr>
    </w:tbl>
    <w:p>
      <w:pPr>
        <w:spacing w:after="200" w:before="40" w:line="240"/>
        <w:ind w:firstLine="0"/>
        <w:jc w:val="left"/>
      </w:pPr>
      <w:commentRangeStart w:id="13"/>
      <w:r>
        <w:rPr>
          <w:i/>
          <w:iCs/>
          <w:color w:val="7A8191"/>
          <w:sz w:val="18"/>
          <w:szCs w:val="18"/>
        </w:rPr>
        <w:t xml:space="preserve">Sursa: Propunere proprie a autorului (exemplu fictiv).</w:t>
      </w:r>
      <w:commentRangeEnd w:id="13"/>
      <w:r>
        <w:commentReference w:id="13"/>
      </w:r>
    </w:p>
    <w:p>
      <w:pPr>
        <w:pStyle w:val="Heading1"/>
        <w:pageBreakBefore/>
      </w:pPr>
      <w:commentRangeStart w:id="14"/>
      <w:r>
        <w:t xml:space="preserve">Concluzii</w:t>
      </w:r>
      <w:commentRangeEnd w:id="14"/>
      <w:r>
        <w:commentReference w:id="14"/>
      </w:r>
    </w:p>
    <w:p>
      <w:pPr>
        <w:tabs>
          <w:tab w:val="left" w:pos="709"/>
        </w:tabs>
        <w:spacing w:after="60"/>
        <w:ind w:left="709" w:hanging="357" w:firstLine="0"/>
        <w:jc w:val="left"/>
      </w:pPr>
      <w:r>
        <w:t xml:space="preserve">•	</w:t>
      </w:r>
      <w:r>
        <w:t xml:space="preserve">Marca a trecut de la negare (ziua 1) la diminuare și apoi la reconstrucție; jumătate din postări au folosit strategii de reconstrucție (întrebarea 1).</w:t>
      </w:r>
    </w:p>
    <w:p>
      <w:pPr>
        <w:tabs>
          <w:tab w:val="left" w:pos="709"/>
        </w:tabs>
        <w:spacing w:after="60"/>
        <w:ind w:left="709" w:hanging="357" w:firstLine="0"/>
        <w:jc w:val="left"/>
      </w:pPr>
      <w:r>
        <w:t xml:space="preserve">•	</w:t>
      </w:r>
      <w:r>
        <w:t xml:space="preserve">Tonul comentariilor s-a îmbunătățit de la o etapă la alta și a devenit ușor pozitiv în medie abia în etapa de stabilizare (întrebarea 2).</w:t>
      </w:r>
    </w:p>
    <w:p>
      <w:pPr>
        <w:tabs>
          <w:tab w:val="left" w:pos="709"/>
        </w:tabs>
        <w:spacing w:after="60"/>
        <w:ind w:left="709" w:hanging="357" w:firstLine="0"/>
        <w:jc w:val="left"/>
      </w:pPr>
      <w:r>
        <w:t xml:space="preserve">•	</w:t>
      </w:r>
      <w:r>
        <w:t xml:space="preserve">Siguranța produsului și criticile la adresa mărcii au dominat discuția (întrebarea 3).</w:t>
      </w:r>
    </w:p>
    <w:p>
      <w:r>
        <w:rPr>
          <w:b/>
          <w:bCs/>
        </w:rPr>
        <w:t xml:space="preserve">Limite:</w:t>
      </w:r>
      <w:r>
        <w:t xml:space="preserve"> un singur caz, o singură platformă și un eșantion de 600 de comentarii. O cercetare viitoare ar putea compara mai multe mărci sau platforme.</w:t>
      </w:r>
    </w:p>
    <w:p>
      <w:pPr>
        <w:pStyle w:val="Heading1"/>
        <w:pageBreakBefore/>
      </w:pPr>
      <w:commentRangeStart w:id="15"/>
      <w:r>
        <w:t xml:space="preserve">Bibliografie</w:t>
      </w:r>
      <w:commentRangeEnd w:id="15"/>
      <w:r>
        <w:commentReference w:id="15"/>
      </w:r>
    </w:p>
    <w:p>
      <w:pPr>
        <w:spacing w:after="100" w:line="300"/>
        <w:ind w:left="709" w:hanging="709" w:firstLine="0"/>
        <w:jc w:val="left"/>
      </w:pPr>
      <w:r>
        <w:t xml:space="preserve">Coombs, W. T. (2007). Protecting organization reputations during a crisis: The development and application of situational crisis communication theory. </w:t>
      </w:r>
      <w:r>
        <w:rPr>
          <w:i/>
          <w:iCs/>
        </w:rPr>
        <w:t xml:space="preserve">Corporate Reputation Review, 10</w:t>
      </w:r>
      <w:r>
        <w:t xml:space="preserve">(3), 163–176.</w:t>
      </w:r>
    </w:p>
    <w:p>
      <w:pPr>
        <w:spacing w:after="100" w:line="300"/>
        <w:ind w:left="709" w:hanging="709" w:firstLine="0"/>
        <w:jc w:val="left"/>
      </w:pPr>
      <w:r>
        <w:t xml:space="preserve">Ionescu, A., &amp; Dima, R. (2022). Comunicarea organizațională pe rețelele sociale. </w:t>
      </w:r>
      <w:r>
        <w:rPr>
          <w:i/>
          <w:iCs/>
        </w:rPr>
        <w:t xml:space="preserve">Revista de Comunicare Aplicată, 8</w:t>
      </w:r>
      <w:r>
        <w:t xml:space="preserve">(2), 33–51.</w:t>
      </w:r>
    </w:p>
    <w:p>
      <w:pPr>
        <w:spacing w:after="100" w:line="300"/>
        <w:ind w:left="709" w:hanging="709" w:firstLine="0"/>
        <w:jc w:val="left"/>
      </w:pPr>
      <w:r>
        <w:t xml:space="preserve">Lacto X. (2026). </w:t>
      </w:r>
      <w:r>
        <w:rPr>
          <w:i/>
          <w:iCs/>
        </w:rPr>
        <w:t xml:space="preserve">Postări publicate pe pagina oficială de Facebook, zilele 1–10 ale crizei</w:t>
      </w:r>
      <w:r>
        <w:t xml:space="preserve"> [Corpus fictiv].</w:t>
      </w:r>
    </w:p>
    <w:p>
      <w:pPr>
        <w:spacing w:after="100" w:line="300"/>
        <w:ind w:left="709" w:hanging="709" w:firstLine="0"/>
        <w:jc w:val="left"/>
      </w:pPr>
      <w:r>
        <w:t xml:space="preserve">Popa, C. (2021). </w:t>
      </w:r>
      <w:r>
        <w:rPr>
          <w:i/>
          <w:iCs/>
        </w:rPr>
        <w:t xml:space="preserve">Relații publice și comunicare de criză</w:t>
      </w:r>
      <w:r>
        <w:t xml:space="preserve">. Editura Exemplu.</w:t>
      </w:r>
    </w:p>
    <w:p>
      <w:pPr>
        <w:spacing w:after="100" w:line="300"/>
        <w:ind w:left="709" w:hanging="709" w:firstLine="0"/>
        <w:jc w:val="left"/>
      </w:pPr>
      <w:r>
        <w:t xml:space="preserve">Stan, L. (2023). </w:t>
      </w:r>
      <w:r>
        <w:rPr>
          <w:i/>
          <w:iCs/>
        </w:rPr>
        <w:t xml:space="preserve">Analiza de conținut în științele comunicării</w:t>
      </w:r>
      <w:r>
        <w:t xml:space="preserve">. Editura Exemplu.</w:t>
      </w:r>
    </w:p>
    <w:p>
      <w:pPr>
        <w:pStyle w:val="Heading1"/>
        <w:pageBreakBefore/>
      </w:pPr>
      <w:commentRangeStart w:id="16"/>
      <w:r>
        <w:t xml:space="preserve">Anexa 1. Grila de codificare (fragment din manualul de codificare)</w:t>
      </w:r>
      <w:commentRangeEnd w:id="16"/>
      <w:r>
        <w:commentReference w:id="16"/>
      </w:r>
    </w:p>
    <w:p>
      <w:pPr>
        <w:tabs>
          <w:tab w:val="left" w:pos="709"/>
        </w:tabs>
        <w:spacing w:after="60"/>
        <w:ind w:left="709" w:hanging="357" w:firstLine="0"/>
        <w:jc w:val="left"/>
      </w:pPr>
      <w:r>
        <w:t xml:space="preserve">1.	</w:t>
      </w:r>
      <w:r>
        <w:t xml:space="preserve">Identificator comentariu (C001–C600) și data publicării.</w:t>
      </w:r>
    </w:p>
    <w:p>
      <w:pPr>
        <w:tabs>
          <w:tab w:val="left" w:pos="709"/>
        </w:tabs>
        <w:spacing w:after="60"/>
        <w:ind w:left="709" w:hanging="357" w:firstLine="0"/>
        <w:jc w:val="left"/>
      </w:pPr>
      <w:r>
        <w:t xml:space="preserve">2.	</w:t>
      </w:r>
      <w:r>
        <w:t xml:space="preserve">Etapa crizei: 1 = zilele 1–2; 2 = zilele 3–5; 3 = zilele 6–10.</w:t>
      </w:r>
    </w:p>
    <w:p>
      <w:pPr>
        <w:tabs>
          <w:tab w:val="left" w:pos="709"/>
        </w:tabs>
        <w:spacing w:after="60"/>
        <w:ind w:left="709" w:hanging="357" w:firstLine="0"/>
        <w:jc w:val="left"/>
      </w:pPr>
      <w:r>
        <w:t xml:space="preserve">3.	</w:t>
      </w:r>
      <w:r>
        <w:t xml:space="preserve">Tonul față de marcă: −2 (insulte, apel la boicot), −1 (critică), 0 (întrebare sau informare), +1 (înțelegere), +2 (sprijin explicit).</w:t>
      </w:r>
    </w:p>
    <w:p>
      <w:pPr>
        <w:tabs>
          <w:tab w:val="left" w:pos="709"/>
        </w:tabs>
        <w:spacing w:after="60"/>
        <w:ind w:left="709" w:hanging="357" w:firstLine="0"/>
        <w:jc w:val="left"/>
      </w:pPr>
      <w:r>
        <w:t xml:space="preserve">4.	</w:t>
      </w:r>
      <w:r>
        <w:t xml:space="preserve">Tema dominantă: 1 siguranță; 2 critici; 3 informații și rambursare; 4 sprijin; 5 ironie; 6 altele.</w:t>
      </w:r>
    </w:p>
    <w:p>
      <w:pPr>
        <w:tabs>
          <w:tab w:val="left" w:pos="709"/>
        </w:tabs>
        <w:spacing w:after="60"/>
        <w:ind w:left="709" w:hanging="357" w:firstLine="0"/>
        <w:jc w:val="left"/>
      </w:pPr>
      <w:r>
        <w:t xml:space="preserve">5.	</w:t>
      </w:r>
      <w:r>
        <w:t xml:space="preserve">Observații ale codificatorului (cazuri ambigue, discutate la final).</w:t>
      </w:r>
    </w:p>
    <w:p>
      <w:pPr>
        <w:pStyle w:val="Heading1"/>
        <w:pageBreakBefore/>
      </w:pPr>
      <w:commentRangeStart w:id="17"/>
      <w:r>
        <w:t xml:space="preserve">Bonus: același paragraf, înainte și după corectare</w:t>
      </w:r>
      <w:commentRangeEnd w:id="17"/>
      <w:r>
        <w:commentReference w:id="17"/>
      </w:r>
    </w:p>
    <w:p>
      <w:r>
        <w:t xml:space="preserve">Fragmentul de mai jos este scris intenționat cu greșelile pe care le întâlnim des în lucrările de Comunicare.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Brandul a gestionat super prost criza, practic toata lumea era furioasa pe Facebook. Am citit o gramada de comentarii si majoritatea erau negative. Dupa parerea mea trebuiau sa isi ceara scuze din prima, asa cum zice si teoria, pentru ca scuzele merg mereu.</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primele două zile ale crizei, marca a folosit strategii de negare, iar comentariile negative au fost majoritare (Tabelul 7). Potrivit teoriei comunicării situaționale de criză, o organizație care a mai trecut prin crize similare ar trebui să folosească de la început strategii de reconstrucție, precum scuzele și compensarea (Coombs, 2007). Rezultatele sugerează că trecerea întârziată la aceste strategii a prelungit etapa cu ton negativ.</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Limbajul colocvial („super prost”, „o grămadă”) a devenit stil academic.</w:t>
      </w:r>
    </w:p>
    <w:p>
      <w:pPr>
        <w:tabs>
          <w:tab w:val="left" w:pos="709"/>
        </w:tabs>
        <w:spacing w:after="60"/>
        <w:ind w:left="709" w:hanging="357" w:firstLine="0"/>
        <w:jc w:val="left"/>
      </w:pPr>
      <w:r>
        <w:t xml:space="preserve">3.	</w:t>
      </w:r>
      <w:r>
        <w:t xml:space="preserve">„Toată lumea era furioasă” și „majoritatea erau negative” au devenit un rezultat măsurat, cu trimitere la tabel.</w:t>
      </w:r>
    </w:p>
    <w:p>
      <w:pPr>
        <w:tabs>
          <w:tab w:val="left" w:pos="709"/>
        </w:tabs>
        <w:spacing w:after="60"/>
        <w:ind w:left="709" w:hanging="357" w:firstLine="0"/>
        <w:jc w:val="left"/>
      </w:pPr>
      <w:r>
        <w:t xml:space="preserve">4.	</w:t>
      </w:r>
      <w:r>
        <w:t xml:space="preserve">„Cum zice și teoria” a devenit o idee atribuită corect (Coombs, 2007), fără generalizarea falsă „scuzele merg mereu”.</w:t>
      </w:r>
    </w:p>
    <w:p>
      <w:pPr>
        <w:tabs>
          <w:tab w:val="left" w:pos="709"/>
        </w:tabs>
        <w:spacing w:after="60"/>
        <w:ind w:left="709" w:hanging="357" w:firstLine="0"/>
        <w:jc w:val="left"/>
      </w:pPr>
      <w:r>
        <w:t xml:space="preserve">5.	</w:t>
      </w:r>
      <w:r>
        <w:t xml:space="preserve">Opinia personală a devenit o interpretare prudentă, sprijinită pe date („rezultatele sugerează”).</w:t>
      </w:r>
    </w:p>
    <w:p>
      <w:pPr>
        <w:spacing w:before="360"/>
        <w:ind w:firstLine="0"/>
        <w:jc w:val="left"/>
      </w:pPr>
      <w:r>
        <w:rPr>
          <w:b/>
          <w:bCs/>
        </w:rPr>
        <w:t xml:space="preserve">Vrei aceeași corectare pentru lucrarea ta? </w:t>
      </w:r>
      <w:hyperlink w:history="1" r:id="rIdj8r7g9d00coddqchgdbjn">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x2ajezytcfcktkuqcqroe">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getyujtln-et2mzs-fgnb">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tema este actuală, ce caz ai ales, întrebările de cercetare și metoda. La licență are 2–3 pagini; aici este prescurtată.</w:t>
      </w:r>
    </w:p>
    <w:p>
      <w:r>
        <w:rPr>
          <w:rFonts w:ascii="Arial" w:cs="Arial" w:eastAsia="Arial" w:hAnsi="Arial"/>
          <w:b/>
          <w:bCs/>
          <w:sz w:val="16"/>
          <w:szCs w:val="16"/>
        </w:rPr>
        <w:t xml:space="preserve">Ghid: </w:t>
      </w:r>
      <w:hyperlink w:history="1" r:id="rId7vl35ihqosbgtibc3xbpn">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Întrebările de cercetare trebuie să poată primi răspuns din corpus. „Cât de bine a comunicat marca?” este prea vag; „cum a evoluat tonul comentariilor?” se poate măsura.</w:t>
      </w:r>
    </w:p>
    <w:p>
      <w:r>
        <w:rPr>
          <w:rFonts w:ascii="Arial" w:cs="Arial" w:eastAsia="Arial" w:hAnsi="Arial"/>
          <w:b/>
          <w:bCs/>
          <w:sz w:val="16"/>
          <w:szCs w:val="16"/>
        </w:rPr>
        <w:t xml:space="preserve">Ghid: </w:t>
      </w:r>
      <w:hyperlink w:history="1" r:id="rId2p63paz_rflr5x4ihhuex">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doar conceptele pe care le folosești în analiză. Aici, teoria SCCT dă categoriile din grila de codificare.</w:t>
      </w:r>
    </w:p>
    <w:p>
      <w:r>
        <w:rPr>
          <w:rFonts w:ascii="Arial" w:cs="Arial" w:eastAsia="Arial" w:hAnsi="Arial"/>
          <w:b/>
          <w:bCs/>
          <w:sz w:val="16"/>
          <w:szCs w:val="16"/>
        </w:rPr>
        <w:t xml:space="preserve">Ghid: </w:t>
      </w:r>
      <w:hyperlink w:history="1" r:id="rIdua3tgrtryvi1uxrapdsvq">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prezenta toate teoriile comunicării „pentru completitudine”. Dacă agenda-setting sau spirala tăcerii nu apar în analiză, nu au loc în capitolul teoretic.</w:t>
      </w:r>
    </w:p>
  </w:comment>
  <w:comment w:id="8" w:initials="LR" w:author="Rolul secțiunii" w:date="2026-05-20T10:00:00.000Z">
    <w:p>
      <w:r>
        <w:rPr>
          <w:sz w:val="18"/>
          <w:szCs w:val="18"/>
        </w:rPr>
        <w:t xml:space="preserve">Metodologia descrie precis corpusul (perioadă, sursă, criterii), unitatea de analiză, grila de codificare și verificarea ei. Comisia trebuie să poată repeta cercetarea.</w:t>
      </w:r>
    </w:p>
  </w:comment>
  <w:comment w:id="9" w:initials="LR" w:author="Sfat" w:date="2026-05-20T10:00:00.000Z">
    <w:p>
      <w:r>
        <w:rPr>
          <w:sz w:val="18"/>
          <w:szCs w:val="18"/>
        </w:rPr>
        <w:t xml:space="preserve">Raportează acordul dintre codificatori chiar dacă ai lucrat singur: roagă un coleg să codifice independent 10% din corpus și calculează kappa Cohen.</w:t>
      </w:r>
    </w:p>
  </w:comment>
  <w:comment w:id="10" w:initials="LR" w:author="Greșeală frecventă" w:date="2026-05-20T10:00:00.000Z">
    <w:p>
      <w:r>
        <w:rPr>
          <w:sz w:val="18"/>
          <w:szCs w:val="18"/>
        </w:rPr>
        <w:t xml:space="preserve">Anonimizează comentariile utilizatorilor. Contul oficial al unei mărci se poate cita, dar numele și pozele persoanelor private nu apar în lucrare, nici în capturile de ecran.</w:t>
      </w:r>
    </w:p>
  </w:comment>
  <w:comment w:id="11" w:initials="LR" w:author="Rolul secțiunii" w:date="2026-05-20T10:00:00.000Z">
    <w:p>
      <w:r>
        <w:rPr>
          <w:sz w:val="18"/>
          <w:szCs w:val="18"/>
        </w:rPr>
        <w:t xml:space="preserve">Capitolul practic este contribuția ta: prezinți rezultatele, le interpretezi prin teoria din capitolul 1 și închei cu propriile recomandări. Tabelele nu se comentează rând cu rând; spui ce arată.</w:t>
      </w:r>
    </w:p>
  </w:comment>
  <w:comment w:id="12" w:initials="LR" w:author="Greșeală frecventă" w:date="2026-05-20T10:00:00.000Z">
    <w:p>
      <w:r>
        <w:rPr>
          <w:sz w:val="18"/>
          <w:szCs w:val="18"/>
        </w:rPr>
        <w:t xml:space="preserve">Analiza de conținut arată o asociere în timp, nu o relație cauzală. Scrie „după trecerea la strategii de reconstrucție, tonul a devenit mai puțin negativ”, nu „scuzele au făcut tonul pozitiv”.</w:t>
      </w:r>
    </w:p>
  </w:comment>
  <w:comment w:id="13" w:initials="LR" w:author="Sfat" w:date="2026-05-20T10:00:00.000Z">
    <w:p>
      <w:r>
        <w:rPr>
          <w:sz w:val="18"/>
          <w:szCs w:val="18"/>
        </w:rPr>
        <w:t xml:space="preserve">Recomandările trebuie să decurgă din rezultatele tale. Fiecare rând din protocol se sprijină pe un tabel sau o figură din capitol.</w:t>
      </w:r>
    </w:p>
  </w:comment>
  <w:comment w:id="14" w:initials="LR" w:author="Rolul secțiunii" w:date="2026-05-20T10:00:00.000Z">
    <w:p>
      <w:r>
        <w:rPr>
          <w:sz w:val="18"/>
          <w:szCs w:val="18"/>
        </w:rPr>
        <w:t xml:space="preserve">Concluziile răspund, în ordine, la întrebările de cercetare și spun limitele studiului. Nu introduci aici date noi.</w:t>
      </w:r>
    </w:p>
    <w:p>
      <w:r>
        <w:rPr>
          <w:rFonts w:ascii="Arial" w:cs="Arial" w:eastAsia="Arial" w:hAnsi="Arial"/>
          <w:b/>
          <w:bCs/>
          <w:sz w:val="16"/>
          <w:szCs w:val="16"/>
        </w:rPr>
        <w:t xml:space="preserve">Ghid: </w:t>
      </w:r>
      <w:hyperlink w:history="1" r:id="rIdlhqwdr6vunutfw5fnkqo_">
        <w:r>
          <w:rPr>
            <w:rFonts w:ascii="Arial" w:cs="Arial" w:eastAsia="Arial" w:hAnsi="Arial"/>
            <w:color w:val="4B7A5E"/>
            <w:sz w:val="16"/>
            <w:szCs w:val="16"/>
            <w:u w:val="single"/>
          </w:rPr>
          <w:t xml:space="preserve">licenta-disertatie-romania.com/blog/concluzii-lucrare-licenta/</w:t>
        </w:r>
      </w:hyperlink>
    </w:p>
  </w:comment>
  <w:comment w:id="15" w:initials="LR" w:author="Rolul secțiunii" w:date="2026-05-20T10:00:00.000Z">
    <w:p>
      <w:r>
        <w:rPr>
          <w:sz w:val="18"/>
          <w:szCs w:val="18"/>
        </w:rPr>
        <w:t xml:space="preserve">În stilul APA 7 sursele se ordonează alfabetic, după numele autorului. Articolul lui Coombs (2007) este real; celelalte surse și cazul „Lacto X” sunt generice, inventate pentru acest exemplu.</w:t>
      </w:r>
    </w:p>
    <w:p>
      <w:r>
        <w:rPr>
          <w:rFonts w:ascii="Arial" w:cs="Arial" w:eastAsia="Arial" w:hAnsi="Arial"/>
          <w:b/>
          <w:bCs/>
          <w:sz w:val="16"/>
          <w:szCs w:val="16"/>
        </w:rPr>
        <w:t xml:space="preserve">Ghid: </w:t>
      </w:r>
      <w:hyperlink w:history="1" r:id="rIdjzyglvat12gho-fyd15l8">
        <w:r>
          <w:rPr>
            <w:rFonts w:ascii="Arial" w:cs="Arial" w:eastAsia="Arial" w:hAnsi="Arial"/>
            <w:color w:val="4B7A5E"/>
            <w:sz w:val="16"/>
            <w:szCs w:val="16"/>
            <w:u w:val="single"/>
          </w:rPr>
          <w:t xml:space="preserve">licenta-disertatie-romania.com/resurse/generator-citare-apa/</w:t>
        </w:r>
      </w:hyperlink>
    </w:p>
  </w:comment>
  <w:comment w:id="16" w:initials="LR" w:author="Rolul secțiunii" w:date="2026-05-20T10:00:00.000Z">
    <w:p>
      <w:r>
        <w:rPr>
          <w:sz w:val="18"/>
          <w:szCs w:val="18"/>
        </w:rPr>
        <w:t xml:space="preserve">Grila completă se pune în anexă, cu definiția fiecărei categorii și cu exemple. Așa comisia vede că al doilea codificator a lucrat după aceleași reguli.</w:t>
      </w:r>
    </w:p>
  </w:comment>
  <w:comment w:id="17"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e-carkvf3fqnocohqt2b8">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z_nnbged4efh1omqrj91h">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eghopka2x7kjq-d3umglr">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x2ajezytcfcktkuqcqroe" Type="http://schemas.openxmlformats.org/officeDocument/2006/relationships/hyperlink" Target="https://licenta-disertatie-romania.com/blog/cuprins-lucrare-licenta/" TargetMode="External"/><Relationship Id="rIdgetyujtln-et2mzs-fgnb" Type="http://schemas.openxmlformats.org/officeDocument/2006/relationships/hyperlink" Target="https://licenta-disertatie-romania.com/blog/formatare-lucrare-licenta/" TargetMode="External"/><Relationship Id="rId7vl35ihqosbgtibc3xbpn" Type="http://schemas.openxmlformats.org/officeDocument/2006/relationships/hyperlink" Target="https://licenta-disertatie-romania.com/blog/introducere-lucrare-licenta/" TargetMode="External"/><Relationship Id="rId2p63paz_rflr5x4ihhuex" Type="http://schemas.openxmlformats.org/officeDocument/2006/relationships/hyperlink" Target="https://licenta-disertatie-romania.com/blog/ipoteze-obiective-lucrare-licenta/" TargetMode="External"/><Relationship Id="rIdua3tgrtryvi1uxrapdsvq" Type="http://schemas.openxmlformats.org/officeDocument/2006/relationships/hyperlink" Target="https://licenta-disertatie-romania.com/blog/structura-lucrare-licenta/" TargetMode="External"/><Relationship Id="rIdlhqwdr6vunutfw5fnkqo_" Type="http://schemas.openxmlformats.org/officeDocument/2006/relationships/hyperlink" Target="https://licenta-disertatie-romania.com/blog/concluzii-lucrare-licenta/" TargetMode="External"/><Relationship Id="rIdjzyglvat12gho-fyd15l8" Type="http://schemas.openxmlformats.org/officeDocument/2006/relationships/hyperlink" Target="https://licenta-disertatie-romania.com/resurse/generator-citare-apa/" TargetMode="External"/><Relationship Id="rIde-carkvf3fqnocohqt2b8"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j8r7g9d00coddqchgdbjn" Type="http://schemas.openxmlformats.org/officeDocument/2006/relationships/hyperlink" Target="https://licenta-disertatie-romania.com/contact/" TargetMode="External"/><Relationship Id="rId10" Type="http://schemas.openxmlformats.org/officeDocument/2006/relationships/image" Target="media/a5b26a9dbc47a981434e1c24c1b2e118ead85b65.png"/><Relationship Id="rId11" Type="http://schemas.openxmlformats.org/officeDocument/2006/relationships/image" Target="media/df4965f95d577388df1b95ffd493ca9084faa575.png"/><Relationship Id="rId12" Type="http://schemas.openxmlformats.org/officeDocument/2006/relationships/image" Target="media/1a7260b1eea56877bd968665d79b62abdec080b1.png"/><Relationship Id="rId13" Type="http://schemas.openxmlformats.org/officeDocument/2006/relationships/image" Target="media/3a5dc974636a9a914cc2c932f6e66371aba3ba62.png"/><Relationship Id="rId14" Type="http://schemas.openxmlformats.org/officeDocument/2006/relationships/image" Target="media/7a129d289ff8bfcc500482058d348de143976c6b.png"/><Relationship Id="rId15" Type="http://schemas.openxmlformats.org/officeDocument/2006/relationships/image" Target="media/39925d277185656ccb693143daa8faf61e8c5b37.png"/><Relationship Id="rId16" Type="http://schemas.openxmlformats.org/officeDocument/2006/relationships/image" Target="media/c858e070d6aa666d3d8064cffd1b6f466757da63.png"/><Relationship Id="rId17" Type="http://schemas.openxmlformats.org/officeDocument/2006/relationships/image" Target="media/0887d573b7cd346c7689e90e09cc4babafeed809.png"/><Relationship Id="rId18" Type="http://schemas.openxmlformats.org/officeDocument/2006/relationships/image" Target="media/24b39c0f8e7e334e6a461a8f837dcef4738671d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nnbged4efh1omqrj91h"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eghopka2x7kjq-d3umglr"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Comunicare și Relații Publice</dc:title>
  <dc:creator>Licenta RO</dc:creator>
  <dc:description>Exemplu fictiv cu date simulate: licenta-disertatie-romania.com</dc:description>
  <cp:lastModifiedBy>Un-named</cp:lastModifiedBy>
  <cp:revision>1</cp:revision>
  <dcterms:created xsi:type="dcterms:W3CDTF">2026-10-05T20:23:30.759Z</dcterms:created>
  <dcterms:modified xsi:type="dcterms:W3CDTF">2026-10-05T20:23:30.759Z</dcterms:modified>
</cp:coreProperties>
</file>

<file path=docProps/custom.xml><?xml version="1.0" encoding="utf-8"?>
<Properties xmlns="http://schemas.openxmlformats.org/officeDocument/2006/custom-properties" xmlns:vt="http://schemas.openxmlformats.org/officeDocument/2006/docPropsVTypes"/>
</file>