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CIBERNETICĂ, STATISTICĂ ȘI INFORMATICĂ ECONOMICĂ</w:t>
      </w:r>
    </w:p>
    <w:p>
      <w:pPr>
        <w:spacing w:after="0" w:before="60"/>
        <w:ind w:firstLine="0"/>
        <w:jc w:val="center"/>
      </w:pPr>
      <w:r>
        <w:rPr>
          <w:b w:val="false"/>
          <w:bCs w:val="false"/>
          <w:i w:val="false"/>
          <w:iCs w:val="false"/>
        </w:rPr>
        <w:t xml:space="preserve">Programul de studii: Cibernetică Economică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Modelarea și prognoza ratei inflației cu modele ARIMA</w:t>
      </w:r>
    </w:p>
    <w:p>
      <w:pPr>
        <w:spacing w:after="0" w:before="120"/>
        <w:ind w:firstLine="0"/>
        <w:jc w:val="center"/>
      </w:pPr>
      <w:r>
        <w:rPr>
          <w:b w:val="false"/>
          <w:bCs w:val="false"/>
          <w:i/>
          <w:iCs/>
          <w:sz w:val="24"/>
          <w:szCs w:val="24"/>
        </w:rPr>
        <w:t xml:space="preserve">Aplicație pe o serie lunară simulată de 120 de observații</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Prof. univ. dr. Ana Vlădescu (nume fictiv)</w:t>
      </w:r>
    </w:p>
    <w:p>
      <w:pPr>
        <w:spacing w:before="300"/>
        <w:ind w:firstLine="0"/>
        <w:jc w:val="right"/>
      </w:pPr>
      <w:r>
        <w:rPr>
          <w:b/>
          <w:bCs/>
        </w:rPr>
        <w:t xml:space="preserve">Absolvent:</w:t>
      </w:r>
    </w:p>
    <w:p>
      <w:pPr>
        <w:ind w:firstLine="0"/>
        <w:jc w:val="right"/>
      </w:pPr>
      <w:r>
        <w:t xml:space="preserve">Mihai Dobrescu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Mihai Dobrescu</w:t>
      </w:r>
      <w:r>
        <w:t xml:space="preserve">, absolvent(ă) al(a) programului de studii Cibernetică Economică, declar pe propria răspundere că lucrarea de licență cu titlul „Modelarea și prognoza ratei inflației cu modele ARIMA”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Modelele ARIMA: cadrul teoretic</w:t>
      </w:r>
      <w:r>
        <w:t xml:space="preserve">	7</w:t>
      </w:r>
    </w:p>
    <w:p>
      <w:pPr>
        <w:tabs>
          <w:tab w:val="right" w:pos="9026" w:leader="dot"/>
        </w:tabs>
        <w:spacing w:after="40" w:line="300"/>
        <w:ind w:left="400" w:firstLine="0"/>
        <w:jc w:val="left"/>
      </w:pPr>
      <w:r>
        <w:rPr>
          <w:b w:val="false"/>
          <w:bCs w:val="false"/>
        </w:rPr>
        <w:t xml:space="preserve">1.1. Procese staționare și integrate</w:t>
      </w:r>
      <w:r>
        <w:t xml:space="preserve">	7</w:t>
      </w:r>
    </w:p>
    <w:p>
      <w:pPr>
        <w:tabs>
          <w:tab w:val="right" w:pos="9026" w:leader="dot"/>
        </w:tabs>
        <w:spacing w:after="40" w:line="300"/>
        <w:ind w:left="400" w:firstLine="0"/>
        <w:jc w:val="left"/>
      </w:pPr>
      <w:r>
        <w:rPr>
          <w:b w:val="false"/>
          <w:bCs w:val="false"/>
        </w:rPr>
        <w:t xml:space="preserve">1.2. Metodologia Box–Jenkins</w:t>
      </w:r>
      <w:r>
        <w:t xml:space="preserve">	7</w:t>
      </w:r>
    </w:p>
    <w:p>
      <w:pPr>
        <w:tabs>
          <w:tab w:val="right" w:pos="9026" w:leader="dot"/>
        </w:tabs>
        <w:spacing w:after="40" w:line="300"/>
        <w:ind w:left="400" w:firstLine="0"/>
        <w:jc w:val="left"/>
      </w:pPr>
      <w:r>
        <w:rPr>
          <w:b w:val="false"/>
          <w:bCs w:val="false"/>
        </w:rPr>
        <w:t xml:space="preserve">1.3. Studii anterioare</w:t>
      </w:r>
      <w:r>
        <w:t xml:space="preserve">	8</w:t>
      </w:r>
    </w:p>
    <w:p>
      <w:pPr>
        <w:tabs>
          <w:tab w:val="right" w:pos="9026" w:leader="dot"/>
        </w:tabs>
        <w:spacing w:after="40" w:line="300"/>
        <w:ind w:left="0" w:firstLine="0"/>
        <w:jc w:val="left"/>
      </w:pPr>
      <w:r>
        <w:rPr>
          <w:b/>
          <w:bCs/>
        </w:rPr>
        <w:t xml:space="preserve">Capitolul 2. Datele și metodologia cercetării</w:t>
      </w:r>
      <w:r>
        <w:t xml:space="preserve">	9</w:t>
      </w:r>
    </w:p>
    <w:p>
      <w:pPr>
        <w:tabs>
          <w:tab w:val="right" w:pos="9026" w:leader="dot"/>
        </w:tabs>
        <w:spacing w:after="40" w:line="300"/>
        <w:ind w:left="400" w:firstLine="0"/>
        <w:jc w:val="left"/>
      </w:pPr>
      <w:r>
        <w:rPr>
          <w:b w:val="false"/>
          <w:bCs w:val="false"/>
        </w:rPr>
        <w:t xml:space="preserve">2.1. Seria analizată</w:t>
      </w:r>
      <w:r>
        <w:t xml:space="preserve">	9</w:t>
      </w:r>
    </w:p>
    <w:p>
      <w:pPr>
        <w:tabs>
          <w:tab w:val="right" w:pos="9026" w:leader="dot"/>
        </w:tabs>
        <w:spacing w:after="40" w:line="300"/>
        <w:ind w:left="400" w:firstLine="0"/>
        <w:jc w:val="left"/>
      </w:pPr>
      <w:r>
        <w:rPr>
          <w:b w:val="false"/>
          <w:bCs w:val="false"/>
        </w:rPr>
        <w:t xml:space="preserve">2.2. Etapele analizei</w:t>
      </w:r>
      <w:r>
        <w:t xml:space="preserve">	9</w:t>
      </w:r>
    </w:p>
    <w:p>
      <w:pPr>
        <w:tabs>
          <w:tab w:val="right" w:pos="9026" w:leader="dot"/>
        </w:tabs>
        <w:spacing w:after="40" w:line="300"/>
        <w:ind w:left="0" w:firstLine="0"/>
        <w:jc w:val="left"/>
      </w:pPr>
      <w:r>
        <w:rPr>
          <w:b/>
          <w:bCs/>
        </w:rPr>
        <w:t xml:space="preserve">Capitolul 3. Estimarea, validarea și prognoza modelului ARIMA</w:t>
      </w:r>
      <w:r>
        <w:t xml:space="preserve">	11</w:t>
      </w:r>
    </w:p>
    <w:p>
      <w:pPr>
        <w:tabs>
          <w:tab w:val="right" w:pos="9026" w:leader="dot"/>
        </w:tabs>
        <w:spacing w:after="40" w:line="300"/>
        <w:ind w:left="400" w:firstLine="0"/>
        <w:jc w:val="left"/>
      </w:pPr>
      <w:r>
        <w:rPr>
          <w:b w:val="false"/>
          <w:bCs w:val="false"/>
        </w:rPr>
        <w:t xml:space="preserve">3.1. Testarea staționarității</w:t>
      </w:r>
      <w:r>
        <w:t xml:space="preserve">	11</w:t>
      </w:r>
    </w:p>
    <w:p>
      <w:pPr>
        <w:tabs>
          <w:tab w:val="right" w:pos="9026" w:leader="dot"/>
        </w:tabs>
        <w:spacing w:after="40" w:line="300"/>
        <w:ind w:left="400" w:firstLine="0"/>
        <w:jc w:val="left"/>
      </w:pPr>
      <w:r>
        <w:rPr>
          <w:b w:val="false"/>
          <w:bCs w:val="false"/>
        </w:rPr>
        <w:t xml:space="preserve">3.2. Identificarea și selecția modelului</w:t>
      </w:r>
      <w:r>
        <w:t xml:space="preserve">	11</w:t>
      </w:r>
    </w:p>
    <w:p>
      <w:pPr>
        <w:tabs>
          <w:tab w:val="right" w:pos="9026" w:leader="dot"/>
        </w:tabs>
        <w:spacing w:after="40" w:line="300"/>
        <w:ind w:left="400" w:firstLine="0"/>
        <w:jc w:val="left"/>
      </w:pPr>
      <w:r>
        <w:rPr>
          <w:b w:val="false"/>
          <w:bCs w:val="false"/>
        </w:rPr>
        <w:t xml:space="preserve">3.3. Estimarea modelului</w:t>
      </w:r>
      <w:r>
        <w:t xml:space="preserve">	12</w:t>
      </w:r>
    </w:p>
    <w:p>
      <w:pPr>
        <w:tabs>
          <w:tab w:val="right" w:pos="9026" w:leader="dot"/>
        </w:tabs>
        <w:spacing w:after="40" w:line="300"/>
        <w:ind w:left="400" w:firstLine="0"/>
        <w:jc w:val="left"/>
      </w:pPr>
      <w:r>
        <w:rPr>
          <w:b w:val="false"/>
          <w:bCs w:val="false"/>
        </w:rPr>
        <w:t xml:space="preserve">3.4. Diagnosticul reziduurilor</w:t>
      </w:r>
      <w:r>
        <w:t xml:space="preserve">	13</w:t>
      </w:r>
    </w:p>
    <w:p>
      <w:pPr>
        <w:tabs>
          <w:tab w:val="right" w:pos="9026" w:leader="dot"/>
        </w:tabs>
        <w:spacing w:after="40" w:line="300"/>
        <w:ind w:left="400" w:firstLine="0"/>
        <w:jc w:val="left"/>
      </w:pPr>
      <w:r>
        <w:rPr>
          <w:b w:val="false"/>
          <w:bCs w:val="false"/>
        </w:rPr>
        <w:t xml:space="preserve">3.5. Prognoza și evaluarea ei</w:t>
      </w:r>
      <w:r>
        <w:t xml:space="preserve">	13</w:t>
      </w:r>
    </w:p>
    <w:p>
      <w:pPr>
        <w:tabs>
          <w:tab w:val="right" w:pos="9026" w:leader="dot"/>
        </w:tabs>
        <w:spacing w:after="40" w:line="300"/>
        <w:ind w:left="400" w:firstLine="0"/>
        <w:jc w:val="left"/>
      </w:pPr>
      <w:r>
        <w:rPr>
          <w:b w:val="false"/>
          <w:bCs w:val="false"/>
        </w:rPr>
        <w:t xml:space="preserve">3.6. Interpretarea autorului</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Codul Python pentru simulare, estimare și prognoză</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Etapele metodologiei Box–Jenkins</w:t>
      </w:r>
      <w:r>
        <w:t xml:space="preserve">	7</w:t>
      </w:r>
    </w:p>
    <w:p>
      <w:pPr>
        <w:tabs>
          <w:tab w:val="right" w:pos="9026" w:leader="dot"/>
        </w:tabs>
        <w:spacing w:after="40" w:line="300"/>
        <w:ind w:left="0" w:firstLine="0"/>
        <w:jc w:val="left"/>
      </w:pPr>
      <w:r>
        <w:rPr>
          <w:b w:val="false"/>
          <w:bCs w:val="false"/>
        </w:rPr>
        <w:t xml:space="preserve">Figura 2. Rata anuală a inflației, serie lunară simulată (%)</w:t>
      </w:r>
      <w:r>
        <w:t xml:space="preserve">	9</w:t>
      </w:r>
    </w:p>
    <w:p>
      <w:pPr>
        <w:tabs>
          <w:tab w:val="right" w:pos="9026" w:leader="dot"/>
        </w:tabs>
        <w:spacing w:after="40" w:line="300"/>
        <w:ind w:left="0" w:firstLine="0"/>
        <w:jc w:val="left"/>
      </w:pPr>
      <w:r>
        <w:rPr>
          <w:b w:val="false"/>
          <w:bCs w:val="false"/>
        </w:rPr>
        <w:t xml:space="preserve">Figura 3. Etapele analizei empirice</w:t>
      </w:r>
      <w:r>
        <w:t xml:space="preserve">	10</w:t>
      </w:r>
    </w:p>
    <w:p>
      <w:pPr>
        <w:tabs>
          <w:tab w:val="right" w:pos="9026" w:leader="dot"/>
        </w:tabs>
        <w:spacing w:after="40" w:line="300"/>
        <w:ind w:left="0" w:firstLine="0"/>
        <w:jc w:val="left"/>
      </w:pPr>
      <w:r>
        <w:rPr>
          <w:b w:val="false"/>
          <w:bCs w:val="false"/>
        </w:rPr>
        <w:t xml:space="preserve">Figura 4. Autocorelațiile (ACF) și autocorelațiile parțiale (PACF) ale seriei Δyₜ, lagurile 1–12 (pragul de semnificație ±0,19)</w:t>
      </w:r>
      <w:r>
        <w:t xml:space="preserve">	11</w:t>
      </w:r>
    </w:p>
    <w:p>
      <w:pPr>
        <w:tabs>
          <w:tab w:val="right" w:pos="9026" w:leader="dot"/>
        </w:tabs>
        <w:spacing w:after="40" w:line="300"/>
        <w:ind w:left="0" w:firstLine="0"/>
        <w:jc w:val="left"/>
      </w:pPr>
      <w:r>
        <w:rPr>
          <w:b w:val="false"/>
          <w:bCs w:val="false"/>
        </w:rPr>
        <w:t xml:space="preserve">Figura 5. Criteriul AIC pentru modelele candidate (valoarea mai mică este mai bună)</w:t>
      </w:r>
      <w:r>
        <w:t xml:space="preserve">	12</w:t>
      </w:r>
    </w:p>
    <w:p>
      <w:pPr>
        <w:tabs>
          <w:tab w:val="right" w:pos="9026" w:leader="dot"/>
        </w:tabs>
        <w:spacing w:after="40" w:line="300"/>
        <w:ind w:left="0" w:firstLine="0"/>
        <w:jc w:val="left"/>
      </w:pPr>
      <w:r>
        <w:rPr>
          <w:b w:val="false"/>
          <w:bCs w:val="false"/>
        </w:rPr>
        <w:t xml:space="preserve">Figura 6. Autocorelațiile reziduurilor modelului ARIMA(1,1,0), lagurile 1–12 (pragul ±0,19)</w:t>
      </w:r>
      <w:r>
        <w:t xml:space="preserve">	13</w:t>
      </w:r>
    </w:p>
    <w:p>
      <w:pPr>
        <w:tabs>
          <w:tab w:val="right" w:pos="9026" w:leader="dot"/>
        </w:tabs>
        <w:spacing w:after="40" w:line="300"/>
        <w:ind w:left="0" w:firstLine="0"/>
        <w:jc w:val="left"/>
      </w:pPr>
      <w:r>
        <w:rPr>
          <w:b w:val="false"/>
          <w:bCs w:val="false"/>
        </w:rPr>
        <w:t xml:space="preserve">Figura 7. Prognoza ARIMA(1,1,0) și valorile efective în lunile 109–120 (%)</w:t>
      </w:r>
      <w:r>
        <w:t xml:space="preserve">	14</w:t>
      </w:r>
    </w:p>
    <w:p>
      <w:pPr>
        <w:tabs>
          <w:tab w:val="right" w:pos="9026" w:leader="dot"/>
        </w:tabs>
        <w:spacing w:after="40" w:line="300"/>
        <w:ind w:left="0" w:firstLine="0"/>
        <w:jc w:val="left"/>
      </w:pPr>
      <w:r>
        <w:rPr>
          <w:b w:val="false"/>
          <w:bCs w:val="false"/>
        </w:rPr>
        <w:t xml:space="preserve">Figura 8. Erorile de prognoză: ARIMA(1,1,0) și modelul naiv (puncte procentuale)</w:t>
      </w:r>
      <w:r>
        <w:t xml:space="preserve">	15</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Identificarea ordinului modelului după forma ACF și PACF</w:t>
      </w:r>
      <w:r>
        <w:t xml:space="preserve">	8</w:t>
      </w:r>
    </w:p>
    <w:p>
      <w:pPr>
        <w:tabs>
          <w:tab w:val="right" w:pos="9026" w:leader="dot"/>
        </w:tabs>
        <w:spacing w:after="40" w:line="300"/>
        <w:ind w:left="0" w:firstLine="0"/>
        <w:jc w:val="left"/>
      </w:pPr>
      <w:r>
        <w:rPr>
          <w:b w:val="false"/>
          <w:bCs w:val="false"/>
        </w:rPr>
        <w:t xml:space="preserve">Tabelul 2. Studii anterioare privind prognoza inflației (exemple fictive)</w:t>
      </w:r>
      <w:r>
        <w:t xml:space="preserve">	8</w:t>
      </w:r>
    </w:p>
    <w:p>
      <w:pPr>
        <w:tabs>
          <w:tab w:val="right" w:pos="9026" w:leader="dot"/>
        </w:tabs>
        <w:spacing w:after="40" w:line="300"/>
        <w:ind w:left="0" w:firstLine="0"/>
        <w:jc w:val="left"/>
      </w:pPr>
      <w:r>
        <w:rPr>
          <w:b w:val="false"/>
          <w:bCs w:val="false"/>
        </w:rPr>
        <w:t xml:space="preserve">Tabelul 3. Statistici descriptive pentru eșantionul de estimare (lunile 1–108)</w:t>
      </w:r>
      <w:r>
        <w:t xml:space="preserve">	9</w:t>
      </w:r>
    </w:p>
    <w:p>
      <w:pPr>
        <w:tabs>
          <w:tab w:val="right" w:pos="9026" w:leader="dot"/>
        </w:tabs>
        <w:spacing w:after="40" w:line="300"/>
        <w:ind w:left="0" w:firstLine="0"/>
        <w:jc w:val="left"/>
      </w:pPr>
      <w:r>
        <w:rPr>
          <w:b w:val="false"/>
          <w:bCs w:val="false"/>
        </w:rPr>
        <w:t xml:space="preserve">Tabelul 4. Testul Dickey–Fuller augmentat (ADF), cu constantă</w:t>
      </w:r>
      <w:r>
        <w:t xml:space="preserve">	11</w:t>
      </w:r>
    </w:p>
    <w:p>
      <w:pPr>
        <w:tabs>
          <w:tab w:val="right" w:pos="9026" w:leader="dot"/>
        </w:tabs>
        <w:spacing w:after="40" w:line="300"/>
        <w:ind w:left="0" w:firstLine="0"/>
        <w:jc w:val="left"/>
      </w:pPr>
      <w:r>
        <w:rPr>
          <w:b w:val="false"/>
          <w:bCs w:val="false"/>
        </w:rPr>
        <w:t xml:space="preserve">Tabelul 5. Compararea modelelor candidate după criteriile informaționale</w:t>
      </w:r>
      <w:r>
        <w:t xml:space="preserve">	12</w:t>
      </w:r>
    </w:p>
    <w:p>
      <w:pPr>
        <w:tabs>
          <w:tab w:val="right" w:pos="9026" w:leader="dot"/>
        </w:tabs>
        <w:spacing w:after="40" w:line="300"/>
        <w:ind w:left="0" w:firstLine="0"/>
        <w:jc w:val="left"/>
      </w:pPr>
      <w:r>
        <w:rPr>
          <w:b w:val="false"/>
          <w:bCs w:val="false"/>
        </w:rPr>
        <w:t xml:space="preserve">Tabelul 6. Estimarea modelului ARIMA(1,1,0)</w:t>
      </w:r>
      <w:r>
        <w:t xml:space="preserve">	12</w:t>
      </w:r>
    </w:p>
    <w:p>
      <w:pPr>
        <w:tabs>
          <w:tab w:val="right" w:pos="9026" w:leader="dot"/>
        </w:tabs>
        <w:spacing w:after="40" w:line="300"/>
        <w:ind w:left="0" w:firstLine="0"/>
        <w:jc w:val="left"/>
      </w:pPr>
      <w:r>
        <w:rPr>
          <w:b w:val="false"/>
          <w:bCs w:val="false"/>
        </w:rPr>
        <w:t xml:space="preserve">Tabelul 7. Testele de diagnostic pentru reziduurile modelului ARIMA(1,1,0)</w:t>
      </w:r>
      <w:r>
        <w:t xml:space="preserve">	13</w:t>
      </w:r>
    </w:p>
    <w:p>
      <w:pPr>
        <w:tabs>
          <w:tab w:val="right" w:pos="9026" w:leader="dot"/>
        </w:tabs>
        <w:spacing w:after="40" w:line="300"/>
        <w:ind w:left="0" w:firstLine="0"/>
        <w:jc w:val="left"/>
      </w:pPr>
      <w:r>
        <w:rPr>
          <w:b w:val="false"/>
          <w:bCs w:val="false"/>
        </w:rPr>
        <w:t xml:space="preserve">Tabelul 8. Prognoza pentru lunile 109–120 comparată cu valorile efective (%)</w:t>
      </w:r>
      <w:r>
        <w:t xml:space="preserve">	14</w:t>
      </w:r>
    </w:p>
    <w:p>
      <w:pPr>
        <w:tabs>
          <w:tab w:val="right" w:pos="9026" w:leader="dot"/>
        </w:tabs>
        <w:spacing w:after="40" w:line="300"/>
        <w:ind w:left="0" w:firstLine="0"/>
        <w:jc w:val="left"/>
      </w:pPr>
      <w:r>
        <w:rPr>
          <w:b w:val="false"/>
          <w:bCs w:val="false"/>
        </w:rPr>
        <w:t xml:space="preserve">Tabelul 9. Acuratețea prognozei pe eșantionul de test (12 luni)</w:t>
      </w:r>
      <w:r>
        <w:t xml:space="preserve">	15</w:t>
      </w:r>
    </w:p>
    <w:p>
      <w:pPr>
        <w:pStyle w:val="Heading1"/>
        <w:pageBreakBefore/>
      </w:pPr>
      <w:commentRangeStart w:id="3"/>
      <w:r>
        <w:t xml:space="preserve">Rezumat</w:t>
      </w:r>
      <w:commentRangeEnd w:id="3"/>
      <w:r>
        <w:commentReference w:id="3"/>
      </w:r>
    </w:p>
    <w:p>
      <w:r>
        <w:t xml:space="preserve">Lucrarea aplică metodologia Box–Jenkins pentru modelarea și prognoza ratei anuale a inflației, pe o serie lunară simulată de 120 de observații. Testul Dickey–Fuller augmentat arată că seria este integrată de ordinul 1. Dintre cinci modele candidate, ARIMA(1,1,0) are cele mai mici valori ale criteriilor AIC și BIC, iar coeficientul autoregresiv estimat (0,493) este apropiat de valoarea din procesul generator. Reziduurile nu sunt autocorelate și sunt normal distribuite. Pe un eșantion de test de 12 luni, prognoza ARIMA are RMSE de 0,38 puncte procentuale și MAPE de 7,9%, față de 0,66 puncte procentuale și 13,9% pentru modelul naiv. Rezultatele confirmă utilitatea modelelor ARIMA pentru prognoza pe termen scurt, dar și limitele lor pe orizonturi mai lungi. Datele sunt simulate și nu reprezintă inflația din România.</w:t>
      </w:r>
    </w:p>
    <w:p>
      <w:pPr>
        <w:spacing w:after="400"/>
        <w:ind w:firstLine="0"/>
        <w:jc w:val="left"/>
      </w:pPr>
      <w:r>
        <w:rPr>
          <w:b/>
          <w:bCs/>
        </w:rPr>
        <w:t xml:space="preserve">Cuvinte-cheie:</w:t>
      </w:r>
      <w:r>
        <w:t xml:space="preserve"> ARIMA, Box–Jenkins, inflație, serii de timp, prognoză, test ADF</w:t>
      </w:r>
    </w:p>
    <w:p>
      <w:pPr>
        <w:spacing w:after="200"/>
        <w:ind w:firstLine="0"/>
        <w:jc w:val="center"/>
      </w:pPr>
      <w:r>
        <w:rPr>
          <w:b/>
          <w:bCs/>
          <w:color w:val="16233F"/>
          <w:sz w:val="26"/>
          <w:szCs w:val="26"/>
        </w:rPr>
        <w:t xml:space="preserve">Abstract</w:t>
      </w:r>
    </w:p>
    <w:p>
      <w:r>
        <w:t xml:space="preserve">This thesis applies the Box–Jenkins methodology to model and forecast the annual inflation rate, using a simulated monthly series of 120 observations. The augmented Dickey–Fuller test shows that the series is integrated of order one. Out of five candidate models, ARIMA(1,1,0) has the lowest AIC and BIC values, and the estimated autoregressive coefficient (0.493) is close to the value of the generating process. The residuals are not autocorrelated and are normally distributed. On a 12-month test sample, the ARIMA forecast has an RMSE of 0.38 percentage points and a MAPE of 7.9%, compared with 0.66 percentage points and 13.9% for the naive model. The results confirm the usefulness of ARIMA models for short-term forecasting, as well as their limits over longer horizons. The data are simulated and do not represent Romanian inflation.</w:t>
      </w:r>
    </w:p>
    <w:p>
      <w:pPr>
        <w:ind w:firstLine="0"/>
        <w:jc w:val="left"/>
      </w:pPr>
      <w:r>
        <w:rPr>
          <w:b/>
          <w:bCs/>
        </w:rPr>
        <w:t xml:space="preserve">Keywords:</w:t>
      </w:r>
      <w:r>
        <w:t xml:space="preserve"> ARIMA, Box–Jenkins, inflation, time series, forecasting, ADF test</w:t>
      </w:r>
    </w:p>
    <w:p>
      <w:pPr>
        <w:pStyle w:val="Heading1"/>
        <w:pageBreakBefore/>
      </w:pPr>
      <w:commentRangeStart w:id="4"/>
      <w:r>
        <w:t xml:space="preserve">Introducere</w:t>
      </w:r>
      <w:commentRangeEnd w:id="4"/>
      <w:r>
        <w:commentReference w:id="4"/>
      </w:r>
    </w:p>
    <w:p>
      <w:r>
        <w:t xml:space="preserve">Prognoza inflației este necesară băncilor centrale, firmelor și gospodăriilor: deciziile de dobândă, salarii sau prețuri se iau în funcție de inflația așteptată. Modelele ARIMA, propuse de Box și Jenkins, sunt un punct de plecare standard pentru prognoza pe termen scurt, pentru că folosesc doar istoricul seriei (Box et al., 2015).</w:t>
      </w:r>
    </w:p>
    <w:p>
      <w:r>
        <w:t xml:space="preserve">Lucrarea aplică metodologia Box–Jenkins pe o serie lunară de 120 de observații a ratei anuale a inflației. </w:t>
      </w:r>
      <w:r>
        <w:rPr>
          <w:b/>
          <w:bCs/>
        </w:rPr>
        <w:t xml:space="preserve">Seria este simulată</w:t>
      </w:r>
      <w:r>
        <w:t xml:space="preserve">, pentru ca exemplul să poată fi reprodus și pentru ca procesul generator să fie cunoscut. Obiectivul este să verificăm dacă un model ARIMA ales după criterii statistice prognozează mai bine decât un model naiv.</w:t>
      </w:r>
    </w:p>
    <w:p>
      <w:r>
        <w:rPr>
          <w:b/>
          <w:bCs/>
        </w:rPr>
        <w:t xml:space="preserve">Ipotezele cercetării</w:t>
      </w:r>
      <w:r>
        <w:t xml:space="preserve"> sunt:</w:t>
      </w:r>
    </w:p>
    <w:p>
      <w:pPr>
        <w:tabs>
          <w:tab w:val="left" w:pos="709"/>
        </w:tabs>
        <w:spacing w:after="60"/>
        <w:ind w:left="709" w:hanging="357" w:firstLine="0"/>
        <w:jc w:val="left"/>
      </w:pPr>
      <w:r>
        <w:t xml:space="preserve">1.	</w:t>
      </w:r>
      <w:r>
        <w:t xml:space="preserve">I1: seria ratei inflației este integrată de ordinul 1, adică devine staționară după o diferențiere;</w:t>
      </w:r>
    </w:p>
    <w:p>
      <w:pPr>
        <w:tabs>
          <w:tab w:val="left" w:pos="709"/>
        </w:tabs>
        <w:spacing w:after="60"/>
        <w:ind w:left="709" w:hanging="357" w:firstLine="0"/>
        <w:jc w:val="left"/>
      </w:pPr>
      <w:r>
        <w:t xml:space="preserve">2.	</w:t>
      </w:r>
      <w:r>
        <w:t xml:space="preserve">I2: modelul ARIMA selectat are reziduuri fără autocorelare (zgomot alb);</w:t>
      </w:r>
    </w:p>
    <w:p>
      <w:pPr>
        <w:tabs>
          <w:tab w:val="left" w:pos="709"/>
        </w:tabs>
        <w:spacing w:after="60"/>
        <w:ind w:left="709" w:hanging="357" w:firstLine="0"/>
        <w:jc w:val="left"/>
      </w:pPr>
      <w:commentRangeStart w:id="5"/>
      <w:r>
        <w:t xml:space="preserve">3.	</w:t>
      </w:r>
      <w:r>
        <w:t xml:space="preserve">I3: prognoza ARIMA pe 12 luni are erori mai mici decât prognoza naivă.</w:t>
      </w:r>
      <w:commentRangeEnd w:id="5"/>
      <w:r>
        <w:commentReference w:id="5"/>
      </w:r>
    </w:p>
    <w:p>
      <w:pPr>
        <w:pStyle w:val="Heading1"/>
        <w:pageBreakBefore/>
      </w:pPr>
      <w:commentRangeStart w:id="6"/>
      <w:r>
        <w:t xml:space="preserve">Capitolul 1. Modelele ARIMA: cadrul teoretic</w:t>
      </w:r>
      <w:commentRangeEnd w:id="6"/>
      <w:r>
        <w:commentReference w:id="6"/>
      </w:r>
    </w:p>
    <w:p>
      <w:pPr>
        <w:pStyle w:val="Heading2"/>
        <w:keepNext/>
      </w:pPr>
      <w:r>
        <w:t xml:space="preserve">1.1. Procese staționare și integrate</w:t>
      </w:r>
    </w:p>
    <w:p>
      <w:r>
        <w:t xml:space="preserve">O serie este staționară dacă media, varianța și autocovarianțele nu depind de timp. Multe serii economice nu sunt staționare, dar devin staționare după d diferențieri; spunem că sunt integrate de ordinul d. Modelul ARIMA(p, d, q) se scrie:</w:t>
      </w:r>
    </w:p>
    <w:p>
      <w:pPr>
        <w:spacing w:after="160" w:before="120"/>
        <w:ind w:firstLine="0"/>
        <w:jc w:val="center"/>
      </w:pPr>
      <w:r>
        <w:rPr>
          <w:i/>
          <w:iCs/>
        </w:rPr>
        <w:t xml:space="preserve">φ(L) (1 − L)ᵈ yₜ = θ(L) εₜ        (1.1)</w:t>
      </w:r>
    </w:p>
    <w:p>
      <w:r>
        <w:t xml:space="preserve">unde L este operatorul de întârziere (L yₜ = yₜ₋₁), φ(L) este polinomul autoregresiv de ordin p, θ(L) polinomul medie mobilă de ordin q, iar εₜ este zgomot alb.</w:t>
      </w:r>
    </w:p>
    <w:p>
      <w:r>
        <w:t xml:space="preserve">Staționaritatea se verifică prin testul Dickey–Fuller augmentat (Dickey &amp; Fuller, 1979), care estimează ecuația de mai jos și testează H₀: γ = 0 (rădăcină unitară):</w:t>
      </w:r>
    </w:p>
    <w:p>
      <w:pPr>
        <w:spacing w:after="160" w:before="120"/>
        <w:ind w:firstLine="0"/>
        <w:jc w:val="center"/>
      </w:pPr>
      <w:r>
        <w:rPr>
          <w:i/>
          <w:iCs/>
        </w:rPr>
        <w:t xml:space="preserve">Δyₜ = α + γ yₜ₋₁ + Σᵢ δᵢ Δyₜ₋ᵢ + εₜ        (1.2)</w:t>
      </w:r>
    </w:p>
    <w:p>
      <w:pPr>
        <w:pStyle w:val="Heading2"/>
        <w:keepNext/>
      </w:pPr>
      <w:r>
        <w:t xml:space="preserve">1.2. Metodologia Box–Jenkins</w:t>
      </w:r>
    </w:p>
    <w:p>
      <w:r>
        <w:t xml:space="preserve">Construirea modelului urmează patru etape care se repetă până când modelul este validat (Figura 1). Ordinele p și q se aleg inițial după forma funcțiilor ACF și PACF (Tabelul 1), apoi după criteriile informaționale Akaike (1974) și Schwarz (1978):</w:t>
      </w:r>
    </w:p>
    <w:p>
      <w:pPr>
        <w:keepNext/>
        <w:spacing w:after="60" w:before="160" w:line="240"/>
        <w:ind w:firstLine="0"/>
        <w:jc w:val="center"/>
      </w:pPr>
      <w:r>
        <w:drawing>
          <wp:inline distT="0" distB="0" distL="0" distR="0">
            <wp:extent cx="5486400" cy="2743200"/>
            <wp:effectExtent t="0" r="0" b="0" l="0"/>
            <wp:docPr id="1" name="Figura 1" descr="Etapele metodologiei Box–Jenkins" title="Etapele metodologiei Box–Jenk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Etapele metodologiei Box–Jenkins</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1.</w:t>
      </w:r>
      <w:r>
        <w:rPr>
          <w:sz w:val="22"/>
          <w:szCs w:val="22"/>
        </w:rPr>
        <w:t xml:space="preserve"> Identificarea ordinului modelului după forma ACF și PACF</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91"/>
        <w:gridCol w:w="3689"/>
        <w:gridCol w:w="3689"/>
      </w:tblGrid>
      <w:tr>
        <w:trPr>
          <w:tblHeader/>
        </w:trPr>
        <w:tc>
          <w:tcPr>
            <w:tcW w:type="dxa" w:w="16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Procesul</w:t>
            </w:r>
          </w:p>
        </w:tc>
        <w:tc>
          <w:tcPr>
            <w:tcW w:type="dxa" w:w="36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Funcția de autocorelație (ACF)</w:t>
            </w:r>
          </w:p>
        </w:tc>
        <w:tc>
          <w:tcPr>
            <w:tcW w:type="dxa" w:w="36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Funcția de autocorelație parțială (PACF)</w:t>
            </w:r>
          </w:p>
        </w:tc>
      </w:tr>
      <w:tr>
        <w:trPr>
          <w:cantSplit/>
        </w:trPr>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AR(p)</w:t>
            </w:r>
          </w:p>
        </w:tc>
        <w:tc>
          <w:tcPr>
            <w:tcW w:type="dxa" w:w="36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Scade treptat (exponențial sau sinusoidal)</w:t>
            </w:r>
          </w:p>
        </w:tc>
        <w:tc>
          <w:tcPr>
            <w:tcW w:type="dxa" w:w="36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 anulează după lagul p</w:t>
            </w:r>
          </w:p>
        </w:tc>
      </w:tr>
      <w:tr>
        <w:trPr>
          <w:cantSplit/>
        </w:trPr>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MA(q)</w:t>
            </w:r>
          </w:p>
        </w:tc>
        <w:tc>
          <w:tcPr>
            <w:tcW w:type="dxa" w:w="36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 anulează după lagul q</w:t>
            </w:r>
          </w:p>
        </w:tc>
        <w:tc>
          <w:tcPr>
            <w:tcW w:type="dxa" w:w="36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Scade treptat</w:t>
            </w:r>
          </w:p>
        </w:tc>
      </w:tr>
      <w:tr>
        <w:trPr>
          <w:cantSplit/>
        </w:trPr>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ARMA(p, q)</w:t>
            </w:r>
          </w:p>
        </w:tc>
        <w:tc>
          <w:tcPr>
            <w:tcW w:type="dxa" w:w="36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Scade treptat după lagul q</w:t>
            </w:r>
          </w:p>
        </w:tc>
        <w:tc>
          <w:tcPr>
            <w:tcW w:type="dxa" w:w="36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Scade treptat după lagul p</w:t>
            </w:r>
          </w:p>
        </w:tc>
      </w:tr>
    </w:tbl>
    <w:p>
      <w:pPr>
        <w:spacing w:after="200" w:before="40" w:line="240"/>
        <w:ind w:firstLine="0"/>
        <w:jc w:val="left"/>
      </w:pPr>
      <w:r>
        <w:rPr>
          <w:i/>
          <w:iCs/>
          <w:color w:val="7A8191"/>
          <w:sz w:val="18"/>
          <w:szCs w:val="18"/>
        </w:rPr>
        <w:t xml:space="preserve">Sursa: Prelucrare după Box et al. (2015).</w:t>
      </w:r>
    </w:p>
    <w:p>
      <w:pPr>
        <w:spacing w:after="160" w:before="120"/>
        <w:ind w:firstLine="0"/>
        <w:jc w:val="center"/>
      </w:pPr>
      <w:r>
        <w:rPr>
          <w:i/>
          <w:iCs/>
        </w:rPr>
        <w:t xml:space="preserve">AIC = −2 ln L + 2k        BIC = −2 ln L + k ln n        (1.3)</w:t>
      </w:r>
    </w:p>
    <w:p>
      <w:r>
        <w:t xml:space="preserve">unde L este verosimilitatea maximă, k numărul de parametri estimați și n numărul de observații. Acuratețea prognozei pe un orizont de h luni se măsoară cu (Hyndman &amp; Athanasopoulos, 2021):</w:t>
      </w:r>
    </w:p>
    <w:p>
      <w:pPr>
        <w:spacing w:after="160" w:before="120"/>
        <w:ind w:firstLine="0"/>
        <w:jc w:val="center"/>
      </w:pPr>
      <w:r>
        <w:rPr>
          <w:i/>
          <w:iCs/>
        </w:rPr>
        <w:t xml:space="preserve">RMSE = √[(1/h) Σ eₜ²]        MAPE = (100/h) Σ |eₜ / yₜ|        (1.4)</w:t>
      </w:r>
    </w:p>
    <w:p>
      <w:pPr>
        <w:pStyle w:val="Heading2"/>
        <w:keepNext/>
      </w:pPr>
      <w:r>
        <w:t xml:space="preserve">1.3. Studii anterioare</w:t>
      </w:r>
    </w:p>
    <w:p>
      <w:r>
        <w:t xml:space="preserve">Studiile empirice arată că modelele ARIMA prognozează bine inflația pe orizonturi scurte, dar pierd avantajul pe orizonturi lungi sau la șocuri externe (Tabelul 2).</w:t>
      </w:r>
    </w:p>
    <w:p>
      <w:pPr>
        <w:keepNext/>
        <w:spacing w:after="80" w:before="200" w:line="260"/>
        <w:ind w:firstLine="0"/>
        <w:jc w:val="left"/>
      </w:pPr>
      <w:r>
        <w:rPr>
          <w:b/>
          <w:bCs/>
          <w:sz w:val="22"/>
          <w:szCs w:val="22"/>
        </w:rPr>
        <w:t xml:space="preserve">Tabelul 2.</w:t>
      </w:r>
      <w:r>
        <w:rPr>
          <w:sz w:val="22"/>
          <w:szCs w:val="22"/>
        </w:rPr>
        <w:t xml:space="preserve"> Studii anterioare privind prognoza inflației (exemple fictive)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42"/>
        <w:gridCol w:w="1984"/>
        <w:gridCol w:w="2126"/>
        <w:gridCol w:w="3118"/>
      </w:tblGrid>
      <w:tr>
        <w:trPr>
          <w:tblHeader/>
        </w:trPr>
        <w:tc>
          <w:tcPr>
            <w:tcW w:type="dxa" w:w="184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Studiul</w:t>
            </w:r>
          </w:p>
        </w:tc>
        <w:tc>
          <w:tcPr>
            <w:tcW w:type="dxa" w:w="19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Date</w:t>
            </w:r>
          </w:p>
        </w:tc>
        <w:tc>
          <w:tcPr>
            <w:tcW w:type="dxa" w:w="212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Modele comparate</w:t>
            </w:r>
          </w:p>
        </w:tc>
        <w:tc>
          <w:tcPr>
            <w:tcW w:type="dxa" w:w="31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Rezultat principal</w:t>
            </w:r>
          </w:p>
        </w:tc>
      </w:tr>
      <w:tr>
        <w:trPr>
          <w:cantSplit/>
        </w:trPr>
        <w:tc>
          <w:tcPr>
            <w:tcW w:type="dxa" w:w="184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Popescu (2021)</w:t>
            </w:r>
          </w:p>
        </w:tc>
        <w:tc>
          <w:tcPr>
            <w:tcW w:type="dxa" w:w="19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Serie lunară, 10 ani</w:t>
            </w:r>
          </w:p>
        </w:tc>
        <w:tc>
          <w:tcPr>
            <w:tcW w:type="dxa" w:w="21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ARIMA, model naiv</w:t>
            </w:r>
          </w:p>
        </w:tc>
        <w:tc>
          <w:tcPr>
            <w:tcW w:type="dxa" w:w="31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ARIMA reduce eroarea pe orizonturi scurte (1–6 luni)</w:t>
            </w:r>
          </w:p>
        </w:tc>
      </w:tr>
      <w:tr>
        <w:trPr>
          <w:cantSplit/>
        </w:trPr>
        <w:tc>
          <w:tcPr>
            <w:tcW w:type="dxa" w:w="184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Ionescu și Radu (2023)</w:t>
            </w:r>
          </w:p>
        </w:tc>
        <w:tc>
          <w:tcPr>
            <w:tcW w:type="dxa" w:w="19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Serie lunară, 15 ani</w:t>
            </w:r>
          </w:p>
        </w:tc>
        <w:tc>
          <w:tcPr>
            <w:tcW w:type="dxa" w:w="21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ARIMA, SARIMA</w:t>
            </w:r>
          </w:p>
        </w:tc>
        <w:tc>
          <w:tcPr>
            <w:tcW w:type="dxa" w:w="31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Componenta sezonieră contează doar pentru indicii lunari</w:t>
            </w:r>
          </w:p>
        </w:tc>
      </w:tr>
      <w:tr>
        <w:trPr>
          <w:cantSplit/>
        </w:trPr>
        <w:tc>
          <w:tcPr>
            <w:tcW w:type="dxa" w:w="184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Marin (2024)</w:t>
            </w:r>
          </w:p>
        </w:tc>
        <w:tc>
          <w:tcPr>
            <w:tcW w:type="dxa" w:w="19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Serie trimestrială, 20 de ani</w:t>
            </w:r>
          </w:p>
        </w:tc>
        <w:tc>
          <w:tcPr>
            <w:tcW w:type="dxa" w:w="21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ARIMA, VAR</w:t>
            </w:r>
          </w:p>
        </w:tc>
        <w:tc>
          <w:tcPr>
            <w:tcW w:type="dxa" w:w="31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VAR este mai bun doar când se adaugă cursul de schimb</w:t>
            </w:r>
          </w:p>
        </w:tc>
      </w:tr>
    </w:tbl>
    <w:p>
      <w:pPr>
        <w:spacing w:after="200" w:before="40" w:line="240"/>
        <w:ind w:firstLine="0"/>
        <w:jc w:val="left"/>
      </w:pPr>
      <w:commentRangeStart w:id="7"/>
      <w:r>
        <w:rPr>
          <w:i/>
          <w:iCs/>
          <w:color w:val="7A8191"/>
          <w:sz w:val="18"/>
          <w:szCs w:val="18"/>
        </w:rPr>
        <w:t xml:space="preserve">Sursa: Sinteză proprie (studii inventate pentru exemplu).</w:t>
      </w:r>
      <w:commentRangeEnd w:id="7"/>
      <w:r>
        <w:commentReference w:id="7"/>
      </w:r>
    </w:p>
    <w:p>
      <w:pPr>
        <w:pStyle w:val="Heading1"/>
        <w:pageBreakBefore/>
      </w:pPr>
      <w:commentRangeStart w:id="8"/>
      <w:r>
        <w:t xml:space="preserve">Capitolul 2. Datele și metodologia cercetării</w:t>
      </w:r>
      <w:commentRangeEnd w:id="8"/>
      <w:r>
        <w:commentReference w:id="8"/>
      </w:r>
    </w:p>
    <w:p>
      <w:pPr>
        <w:pStyle w:val="Heading2"/>
        <w:keepNext/>
      </w:pPr>
      <w:r>
        <w:t xml:space="preserve">2.1. Seria analizată</w:t>
      </w:r>
    </w:p>
    <w:p>
      <w:r>
        <w:t xml:space="preserve">Seria are 120 de observații lunare ale ratei anuale a inflației, simulate dintr-un proces ARIMA(1,1,0) cunoscut (Anexa 1). Primele 108 luni sunt folosite pentru estimare, iar ultimele 12 pentru testarea prognozei (Figura 2).</w:t>
      </w:r>
    </w:p>
    <w:p>
      <w:pPr>
        <w:keepNext/>
        <w:spacing w:after="60" w:before="160" w:line="240"/>
        <w:ind w:firstLine="0"/>
        <w:jc w:val="center"/>
      </w:pPr>
      <w:r>
        <w:drawing>
          <wp:inline distT="0" distB="0" distL="0" distR="0">
            <wp:extent cx="5762625" cy="2647950"/>
            <wp:effectExtent t="0" r="0" b="0" l="0"/>
            <wp:docPr id="2" name="Figura 2" descr="Rata anuală a inflației, serie lunară simulată (%)" title="Rata anuală a inflației, serie lunară simulat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6479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Rata anuală a inflației, serie lunară simulată (%)</w:t>
      </w:r>
    </w:p>
    <w:p>
      <w:pPr>
        <w:spacing w:after="200" w:line="240"/>
        <w:ind w:firstLine="0"/>
        <w:jc w:val="center"/>
      </w:pPr>
      <w:commentRangeStart w:id="9"/>
      <w:r>
        <w:rPr>
          <w:i/>
          <w:iCs/>
          <w:color w:val="7A8191"/>
          <w:sz w:val="18"/>
          <w:szCs w:val="18"/>
        </w:rPr>
        <w:t xml:space="preserve">Sursa: Prelucrare proprie.</w:t>
      </w:r>
      <w:commentRangeEnd w:id="9"/>
      <w:r>
        <w:commentReference w:id="9"/>
      </w:r>
    </w:p>
    <w:p>
      <w:r>
        <w:t xml:space="preserve">Pe eșantionul de estimare, rata inflației are media 5,66% și variază între 1,95% și 10,42% (Tabelul 3). Prima diferență are media aproape zero, ceea ce sugerează o serie fără tendință deterministă.</w:t>
      </w:r>
    </w:p>
    <w:p>
      <w:pPr>
        <w:keepNext/>
        <w:spacing w:after="80" w:before="200" w:line="260"/>
        <w:ind w:firstLine="0"/>
        <w:jc w:val="left"/>
      </w:pPr>
      <w:r>
        <w:rPr>
          <w:b/>
          <w:bCs/>
          <w:sz w:val="22"/>
          <w:szCs w:val="22"/>
        </w:rPr>
        <w:t xml:space="preserve">Tabelul 3.</w:t>
      </w:r>
      <w:r>
        <w:rPr>
          <w:sz w:val="22"/>
          <w:szCs w:val="22"/>
        </w:rPr>
        <w:t xml:space="preserve"> Statistici descriptive pentru eșantionul de estimare (lunile 1–108)</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Indicatorul</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Rata inflației, yₜ (%)</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Prima diferență, Δyₜ (pp)</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Număr de observații</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107</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Media</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5,66</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Abaterea standard</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0,36</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Minimul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1,95</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−1,05</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Maximul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10,42</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0,94</w:t>
            </w:r>
          </w:p>
        </w:tc>
      </w:tr>
    </w:tbl>
    <w:p>
      <w:pPr>
        <w:spacing w:after="200" w:before="40" w:line="240"/>
        <w:ind w:firstLine="0"/>
        <w:jc w:val="left"/>
      </w:pPr>
      <w:r>
        <w:rPr>
          <w:i/>
          <w:iCs/>
          <w:color w:val="7A8191"/>
          <w:sz w:val="18"/>
          <w:szCs w:val="18"/>
        </w:rPr>
        <w:t xml:space="preserve">Sursa: Calcule proprii pe seria simulată.</w:t>
      </w:r>
    </w:p>
    <w:p>
      <w:pPr>
        <w:pStyle w:val="Heading2"/>
        <w:keepNext/>
      </w:pPr>
      <w:r>
        <w:t xml:space="preserve">2.2. Etapele analizei</w:t>
      </w:r>
    </w:p>
    <w:p>
      <w:r>
        <w:t xml:space="preserve">Analiza urmează etapele din Figura 3. Calculele au fost făcute în Python 3, cu biblioteca statsmodels (versiunea 0.14); rezultatele se pot reproduce în EViews sau R, cu mici diferențe de estimare.</w:t>
      </w:r>
    </w:p>
    <w:p>
      <w:pPr>
        <w:keepNext/>
        <w:spacing w:after="60" w:before="160" w:line="240"/>
        <w:ind w:firstLine="0"/>
        <w:jc w:val="center"/>
      </w:pPr>
      <w:r>
        <w:drawing>
          <wp:inline distT="0" distB="0" distL="0" distR="0">
            <wp:extent cx="5762625" cy="2743200"/>
            <wp:effectExtent t="0" r="0" b="0" l="0"/>
            <wp:docPr id="3" name="Figura 3" descr="Etapele analizei empirice" title="Etapele analizei empi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analizei empirice</w:t>
      </w:r>
    </w:p>
    <w:p>
      <w:pPr>
        <w:spacing w:after="200" w:line="240"/>
        <w:ind w:firstLine="0"/>
        <w:jc w:val="center"/>
      </w:pPr>
      <w:commentRangeStart w:id="10"/>
      <w:r>
        <w:rPr>
          <w:i/>
          <w:iCs/>
          <w:color w:val="7A8191"/>
          <w:sz w:val="18"/>
          <w:szCs w:val="18"/>
        </w:rPr>
        <w:t xml:space="preserve">Sursa: Prelucrare proprie.</w:t>
      </w:r>
      <w:commentRangeEnd w:id="10"/>
      <w:r>
        <w:commentReference w:id="10"/>
      </w:r>
    </w:p>
    <w:p>
      <w:pPr>
        <w:pStyle w:val="Heading1"/>
        <w:pageBreakBefore/>
      </w:pPr>
      <w:commentRangeStart w:id="11"/>
      <w:r>
        <w:t xml:space="preserve">Capitolul 3. Estimarea, validarea și prognoza modelului ARIMA</w:t>
      </w:r>
      <w:commentRangeEnd w:id="11"/>
      <w:r>
        <w:commentReference w:id="11"/>
      </w:r>
    </w:p>
    <w:p>
      <w:pPr>
        <w:pStyle w:val="Heading2"/>
        <w:keepNext/>
      </w:pPr>
      <w:r>
        <w:t xml:space="preserve">3.1. Testarea staționarității</w:t>
      </w:r>
    </w:p>
    <w:p>
      <w:r>
        <w:t xml:space="preserve">Pentru seria în nivel, statistica ADF (−1,769) este mai mare decât valoarea critică de −2,890, iar p = 0,396, deci nu respingem ipoteza rădăcinii unitare. Prima diferență este staționară (p = 0,003) (Tabelul 4). </w:t>
      </w:r>
      <w:r>
        <w:rPr>
          <w:b/>
          <w:bCs/>
        </w:rPr>
        <w:t xml:space="preserve">Ipoteza I1 se confirmă</w:t>
      </w:r>
      <w:r>
        <w:t xml:space="preserve">: seria este integrată de ordinul 1, deci d = 1.</w:t>
      </w:r>
    </w:p>
    <w:p>
      <w:pPr>
        <w:keepNext/>
        <w:spacing w:after="80" w:before="200" w:line="260"/>
        <w:ind w:firstLine="0"/>
        <w:jc w:val="left"/>
      </w:pPr>
      <w:r>
        <w:rPr>
          <w:b/>
          <w:bCs/>
          <w:sz w:val="22"/>
          <w:szCs w:val="22"/>
        </w:rPr>
        <w:t xml:space="preserve">Tabelul 4.</w:t>
      </w:r>
      <w:r>
        <w:rPr>
          <w:sz w:val="22"/>
          <w:szCs w:val="22"/>
        </w:rPr>
        <w:t xml:space="preserve"> Testul Dickey–Fuller augmentat (ADF), cu constantă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01"/>
        <w:gridCol w:w="1463"/>
        <w:gridCol w:w="1024"/>
        <w:gridCol w:w="1609"/>
        <w:gridCol w:w="1024"/>
        <w:gridCol w:w="2048"/>
      </w:tblGrid>
      <w:tr>
        <w:trPr>
          <w:tblHeader/>
        </w:trPr>
        <w:tc>
          <w:tcPr>
            <w:tcW w:type="dxa" w:w="19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Seria</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Statistica ADF</w:t>
            </w:r>
          </w:p>
        </w:tc>
        <w:tc>
          <w:tcPr>
            <w:tcW w:type="dxa" w:w="102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Laguri</w:t>
            </w:r>
          </w:p>
        </w:tc>
        <w:tc>
          <w:tcPr>
            <w:tcW w:type="dxa" w:w="16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Valoarea critică (5%)</w:t>
            </w:r>
          </w:p>
        </w:tc>
        <w:tc>
          <w:tcPr>
            <w:tcW w:type="dxa" w:w="102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204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Concluzia</w:t>
            </w:r>
          </w:p>
        </w:tc>
      </w:tr>
      <w:tr>
        <w:trPr>
          <w:cantSplit/>
        </w:trPr>
        <w:tc>
          <w:tcPr>
            <w:tcW w:type="dxa" w:w="19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yₜ (nivel)</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−1,769</w:t>
            </w:r>
          </w:p>
        </w:tc>
        <w:tc>
          <w:tcPr>
            <w:tcW w:type="dxa" w:w="10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16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−2,890</w:t>
            </w:r>
          </w:p>
        </w:tc>
        <w:tc>
          <w:tcPr>
            <w:tcW w:type="dxa" w:w="10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0,396</w:t>
            </w:r>
          </w:p>
        </w:tc>
        <w:tc>
          <w:tcPr>
            <w:tcW w:type="dxa" w:w="204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Nestaționară</w:t>
            </w:r>
          </w:p>
        </w:tc>
      </w:tr>
      <w:tr>
        <w:trPr>
          <w:cantSplit/>
        </w:trPr>
        <w:tc>
          <w:tcPr>
            <w:tcW w:type="dxa" w:w="19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Δyₜ (prima diferență)</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−3,806</w:t>
            </w:r>
          </w:p>
        </w:tc>
        <w:tc>
          <w:tcPr>
            <w:tcW w:type="dxa" w:w="10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6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−2,890</w:t>
            </w:r>
          </w:p>
        </w:tc>
        <w:tc>
          <w:tcPr>
            <w:tcW w:type="dxa" w:w="10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0,003</w:t>
            </w:r>
          </w:p>
        </w:tc>
        <w:tc>
          <w:tcPr>
            <w:tcW w:type="dxa" w:w="204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Staționară</w:t>
            </w:r>
          </w:p>
        </w:tc>
      </w:tr>
    </w:tbl>
    <w:p>
      <w:pPr>
        <w:keepNext/>
        <w:spacing w:after="0" w:before="60" w:line="240"/>
        <w:ind w:firstLine="0"/>
        <w:jc w:val="left"/>
      </w:pPr>
      <w:r>
        <w:rPr>
          <w:i/>
          <w:iCs/>
          <w:sz w:val="18"/>
          <w:szCs w:val="18"/>
        </w:rPr>
        <w:t xml:space="preserve">Notă.</w:t>
      </w:r>
      <w:r>
        <w:rPr>
          <w:sz w:val="18"/>
          <w:szCs w:val="18"/>
        </w:rPr>
        <w:t xml:space="preserve"> H₀: seria are o rădăcină unitară. Numărul de laguri a fost ales automat după criteriul AIC.</w:t>
      </w:r>
    </w:p>
    <w:p>
      <w:pPr>
        <w:spacing w:after="200" w:before="40" w:line="240"/>
        <w:ind w:firstLine="0"/>
        <w:jc w:val="left"/>
      </w:pPr>
      <w:r>
        <w:rPr>
          <w:i/>
          <w:iCs/>
          <w:color w:val="7A8191"/>
          <w:sz w:val="18"/>
          <w:szCs w:val="18"/>
        </w:rPr>
        <w:t xml:space="preserve">Sursa: Calcule proprii în Python (statsmodels) pe seria simulată.</w:t>
      </w:r>
    </w:p>
    <w:p>
      <w:pPr>
        <w:pStyle w:val="Heading2"/>
        <w:keepNext/>
      </w:pPr>
      <w:r>
        <w:t xml:space="preserve">3.2. Identificarea și selecția modelului</w:t>
      </w:r>
    </w:p>
    <w:p>
      <w:r>
        <w:t xml:space="preserve">ACF-ul seriei diferențiate scade treptat, iar PACF-ul are un singur coeficient semnificativ, la lagul 1 (0,496) (Figura 4). Conform Tabelului 1, forma indică un proces AR(1) pentru Δyₜ, adică un model ARIMA(1,1,0).</w:t>
      </w:r>
    </w:p>
    <w:p>
      <w:pPr>
        <w:keepNext/>
        <w:spacing w:after="60" w:before="160" w:line="240"/>
        <w:ind w:firstLine="0"/>
        <w:jc w:val="center"/>
      </w:pPr>
      <w:r>
        <w:drawing>
          <wp:inline distT="0" distB="0" distL="0" distR="0">
            <wp:extent cx="5762625" cy="2562225"/>
            <wp:effectExtent t="0" r="0" b="0" l="0"/>
            <wp:docPr id="4" name="Figura 4" descr="Autocorelațiile (ACF) și autocorelațiile parțiale (PACF) ale seriei Δyₜ, lagurile 1–12 (pragul de semnificație ±0,19)" title="Autocorelațiile (ACF) și autocorelațiile parțiale (PACF) ale seriei Δyₜ, lagurile 1–12 (pragul de semnificație ±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5622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Autocorelațiile (ACF) și autocorelațiile parțiale (PACF) ale seriei Δyₜ, lagurile 1–12 (pragul de semnificație ±0,19)</w:t>
      </w:r>
    </w:p>
    <w:p>
      <w:pPr>
        <w:spacing w:after="200" w:line="240"/>
        <w:ind w:firstLine="0"/>
        <w:jc w:val="center"/>
      </w:pPr>
      <w:r>
        <w:rPr>
          <w:i/>
          <w:iCs/>
          <w:color w:val="7A8191"/>
          <w:sz w:val="18"/>
          <w:szCs w:val="18"/>
        </w:rPr>
        <w:t xml:space="preserve">Sursa: Prelucrare proprie.</w:t>
      </w:r>
    </w:p>
    <w:p>
      <w:r>
        <w:t xml:space="preserve">Am estimat și patru modele alternative. ARIMA(1,1,0) are cele mai mici valori atât pentru AIC (60,64), cât și pentru BIC (65,98) (Tabelul 5, Figura 5); adăugarea unor parametri nu îmbunătățește modelul.</w:t>
      </w:r>
    </w:p>
    <w:p>
      <w:pPr>
        <w:keepNext/>
        <w:spacing w:after="80" w:before="200" w:line="260"/>
        <w:ind w:firstLine="0"/>
        <w:jc w:val="left"/>
      </w:pPr>
      <w:r>
        <w:rPr>
          <w:b/>
          <w:bCs/>
          <w:sz w:val="22"/>
          <w:szCs w:val="22"/>
        </w:rPr>
        <w:t xml:space="preserve">Tabelul 5.</w:t>
      </w:r>
      <w:r>
        <w:rPr>
          <w:sz w:val="22"/>
          <w:szCs w:val="22"/>
        </w:rPr>
        <w:t xml:space="preserve"> Compararea modelelor candidate după criteriile informaționale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Modelul</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AIC</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BIC</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ARIMA(1,1,0)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60,64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65,98</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ARIMA(2,1,0)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62,61</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70,62</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ARIMA(0,1,1)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62,93</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68,28</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ARIMA(1,1,1)</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62,54</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70,56</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ARIMA(0,1,2)</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63,73</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71,75</w:t>
            </w:r>
          </w:p>
        </w:tc>
      </w:tr>
    </w:tbl>
    <w:p>
      <w:pPr>
        <w:keepNext/>
        <w:spacing w:after="0" w:before="60" w:line="240"/>
        <w:ind w:firstLine="0"/>
        <w:jc w:val="left"/>
      </w:pPr>
      <w:r>
        <w:rPr>
          <w:i/>
          <w:iCs/>
          <w:sz w:val="18"/>
          <w:szCs w:val="18"/>
        </w:rPr>
        <w:t xml:space="preserve">Notă.</w:t>
      </w:r>
      <w:r>
        <w:rPr>
          <w:sz w:val="18"/>
          <w:szCs w:val="18"/>
        </w:rPr>
        <w:t xml:space="preserve"> Valorile mai mici indică un model mai bun. Toate modelele sunt estimate pe aceleași 108 observații.</w:t>
      </w:r>
    </w:p>
    <w:p>
      <w:pPr>
        <w:spacing w:after="200" w:before="40" w:line="240"/>
        <w:ind w:firstLine="0"/>
        <w:jc w:val="left"/>
      </w:pPr>
      <w:r>
        <w:rPr>
          <w:i/>
          <w:iCs/>
          <w:color w:val="7A8191"/>
          <w:sz w:val="18"/>
          <w:szCs w:val="18"/>
        </w:rPr>
        <w:t xml:space="preserve">Sursa: Calcule proprii pe seria simulată.</w:t>
      </w:r>
    </w:p>
    <w:p>
      <w:pPr>
        <w:keepNext/>
        <w:spacing w:after="60" w:before="160" w:line="240"/>
        <w:ind w:firstLine="0"/>
        <w:jc w:val="center"/>
      </w:pPr>
      <w:r>
        <w:drawing>
          <wp:inline distT="0" distB="0" distL="0" distR="0">
            <wp:extent cx="5486400" cy="2381250"/>
            <wp:effectExtent t="0" r="0" b="0" l="0"/>
            <wp:docPr id="5" name="Figura 5" descr="Criteriul AIC pentru modelele candidate (valoarea mai mică este mai bună)" title="Criteriul AIC pentru modelele candidate (valoarea mai mică este mai bun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23812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Criteriul AIC pentru modelele candidate (valoarea mai mică este mai bună)</w:t>
      </w:r>
    </w:p>
    <w:p>
      <w:pPr>
        <w:spacing w:after="200" w:line="240"/>
        <w:ind w:firstLine="0"/>
        <w:jc w:val="center"/>
      </w:pPr>
      <w:r>
        <w:rPr>
          <w:i/>
          <w:iCs/>
          <w:color w:val="7A8191"/>
          <w:sz w:val="18"/>
          <w:szCs w:val="18"/>
        </w:rPr>
        <w:t xml:space="preserve">Sursa: Prelucrare proprie.</w:t>
      </w:r>
    </w:p>
    <w:p>
      <w:pPr>
        <w:pStyle w:val="Heading2"/>
        <w:keepNext/>
      </w:pPr>
      <w:r>
        <w:t xml:space="preserve">3.3. Estimarea modelului</w:t>
      </w:r>
    </w:p>
    <w:p>
      <w:r>
        <w:t xml:space="preserve">Coeficientul autoregresiv este pozitiv și semnificativ, φ₁ = 0,493, p &lt; 0,001 (Tabelul 6). Modelul estimat este:</w:t>
      </w:r>
    </w:p>
    <w:p>
      <w:pPr>
        <w:spacing w:after="160" w:before="120"/>
        <w:ind w:firstLine="0"/>
        <w:jc w:val="center"/>
      </w:pPr>
      <w:r>
        <w:rPr>
          <w:i/>
          <w:iCs/>
        </w:rPr>
        <w:t xml:space="preserve">Δŷₜ = 0,493 · Δyₜ₋₁,   adică   ŷₜ = yₜ₋₁ + 0,493 · (yₜ₋₁ − yₜ₋₂)        (3.1)</w:t>
      </w:r>
    </w:p>
    <w:p>
      <w:pPr>
        <w:keepNext/>
        <w:spacing w:after="80" w:before="200" w:line="260"/>
        <w:ind w:firstLine="0"/>
        <w:jc w:val="left"/>
      </w:pPr>
      <w:r>
        <w:rPr>
          <w:b/>
          <w:bCs/>
          <w:sz w:val="22"/>
          <w:szCs w:val="22"/>
        </w:rPr>
        <w:t xml:space="preserve">Tabelul 6.</w:t>
      </w:r>
      <w:r>
        <w:rPr>
          <w:sz w:val="22"/>
          <w:szCs w:val="22"/>
        </w:rPr>
        <w:t xml:space="preserve"> Estimarea modelului ARIMA(1,1,0)</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Parametrul</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Coeficientul</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Eroarea standard</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z</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φ₁ (AR 1)</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0,493</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0,082</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5,99</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&lt; 0,001</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σ² (varianța erorilor)</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0,099</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0,014</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6,87</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&lt; 0,001</w:t>
            </w:r>
          </w:p>
        </w:tc>
      </w:tr>
    </w:tbl>
    <w:p>
      <w:pPr>
        <w:keepNext/>
        <w:spacing w:after="0" w:before="60" w:line="240"/>
        <w:ind w:firstLine="0"/>
        <w:jc w:val="left"/>
      </w:pPr>
      <w:r>
        <w:rPr>
          <w:i/>
          <w:iCs/>
          <w:sz w:val="18"/>
          <w:szCs w:val="18"/>
        </w:rPr>
        <w:t xml:space="preserve">Notă.</w:t>
      </w:r>
      <w:r>
        <w:rPr>
          <w:sz w:val="18"/>
          <w:szCs w:val="18"/>
        </w:rPr>
        <w:t xml:space="preserve"> Estimare prin metoda verosimilității maxime; n = 108; ln L = −28,32.</w:t>
      </w:r>
    </w:p>
    <w:p>
      <w:pPr>
        <w:spacing w:after="200" w:before="40" w:line="240"/>
        <w:ind w:firstLine="0"/>
        <w:jc w:val="left"/>
      </w:pPr>
      <w:r>
        <w:rPr>
          <w:i/>
          <w:iCs/>
          <w:color w:val="7A8191"/>
          <w:sz w:val="18"/>
          <w:szCs w:val="18"/>
        </w:rPr>
        <w:t xml:space="preserve">Sursa: Calcule proprii pe seria simulată.</w:t>
      </w:r>
    </w:p>
    <w:p>
      <w:r>
        <w:t xml:space="preserve">Interpretarea economică: aproximativ jumătate din variația inflației dintr-o lună se transmite în luna următoare, deci accelerările și decelerările inflației au inerție.</w:t>
      </w:r>
    </w:p>
    <w:p>
      <w:pPr>
        <w:pStyle w:val="Heading2"/>
        <w:keepNext/>
      </w:pPr>
      <w:r>
        <w:t xml:space="preserve">3.4. Diagnosticul reziduurilor</w:t>
      </w:r>
    </w:p>
    <w:p>
      <w:r>
        <w:t xml:space="preserve">Toate autocorelațiile reziduurilor se află în intervalul ±0,19 (Figura 6), iar testul Ljung–Box nu respinge absența autocorelării nici la 12, nici la 24 de laguri (Ljung &amp; Box, 1978). Reziduurile sunt normal distribuite și homoscedastice (Tabelul 7). </w:t>
      </w:r>
      <w:r>
        <w:rPr>
          <w:b/>
          <w:bCs/>
        </w:rPr>
        <w:t xml:space="preserve">Ipoteza I2 se confirmă.</w:t>
      </w:r>
    </w:p>
    <w:p>
      <w:pPr>
        <w:keepNext/>
        <w:spacing w:after="60" w:before="160" w:line="240"/>
        <w:ind w:firstLine="0"/>
        <w:jc w:val="center"/>
      </w:pPr>
      <w:r>
        <w:drawing>
          <wp:inline distT="0" distB="0" distL="0" distR="0">
            <wp:extent cx="5486400" cy="2381250"/>
            <wp:effectExtent t="0" r="0" b="0" l="0"/>
            <wp:docPr id="6" name="Figura 6" descr="Autocorelațiile reziduurilor modelului ARIMA(1,1,0), lagurile 1–12 (pragul ±0,19)" title="Autocorelațiile reziduurilor modelului ARIMA(1,1,0), lagurile 1–12 (pragul ±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3812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Autocorelațiile reziduurilor modelului ARIMA(1,1,0), lagurile 1–12 (pragul ±0,19)</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7.</w:t>
      </w:r>
      <w:r>
        <w:rPr>
          <w:sz w:val="22"/>
          <w:szCs w:val="22"/>
        </w:rPr>
        <w:t xml:space="preserve"> Testele de diagnostic pentru reziduurile modelului ARIMA(1,1,0)</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48"/>
        <w:gridCol w:w="2779"/>
        <w:gridCol w:w="1316"/>
        <w:gridCol w:w="1024"/>
        <w:gridCol w:w="1901"/>
      </w:tblGrid>
      <w:tr>
        <w:trPr>
          <w:tblHeader/>
        </w:trPr>
        <w:tc>
          <w:tcPr>
            <w:tcW w:type="dxa" w:w="204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Testul</w:t>
            </w:r>
          </w:p>
        </w:tc>
        <w:tc>
          <w:tcPr>
            <w:tcW w:type="dxa" w:w="27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Ipoteza nulă</w:t>
            </w:r>
          </w:p>
        </w:tc>
        <w:tc>
          <w:tcPr>
            <w:tcW w:type="dxa" w:w="13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Statistica</w:t>
            </w:r>
          </w:p>
        </w:tc>
        <w:tc>
          <w:tcPr>
            <w:tcW w:type="dxa" w:w="102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w:t>
            </w:r>
          </w:p>
        </w:tc>
        <w:tc>
          <w:tcPr>
            <w:tcW w:type="dxa" w:w="19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Concluzia</w:t>
            </w:r>
          </w:p>
        </w:tc>
      </w:tr>
      <w:tr>
        <w:trPr>
          <w:cantSplit/>
        </w:trPr>
        <w:tc>
          <w:tcPr>
            <w:tcW w:type="dxa" w:w="204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Ljung–Box Q(12)</w:t>
            </w:r>
          </w:p>
        </w:tc>
        <w:tc>
          <w:tcPr>
            <w:tcW w:type="dxa" w:w="2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Reziduurile nu sunt autocorelate</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6,15</w:t>
            </w:r>
          </w:p>
        </w:tc>
        <w:tc>
          <w:tcPr>
            <w:tcW w:type="dxa" w:w="10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0,908</w:t>
            </w:r>
          </w:p>
        </w:tc>
        <w:tc>
          <w:tcPr>
            <w:tcW w:type="dxa" w:w="19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H₀ nu se respinge</w:t>
            </w:r>
          </w:p>
        </w:tc>
      </w:tr>
      <w:tr>
        <w:trPr>
          <w:cantSplit/>
        </w:trPr>
        <w:tc>
          <w:tcPr>
            <w:tcW w:type="dxa" w:w="204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Ljung–Box Q(24)</w:t>
            </w:r>
          </w:p>
        </w:tc>
        <w:tc>
          <w:tcPr>
            <w:tcW w:type="dxa" w:w="27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Reziduurile nu sunt autocorelate</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18,64</w:t>
            </w:r>
          </w:p>
        </w:tc>
        <w:tc>
          <w:tcPr>
            <w:tcW w:type="dxa" w:w="10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0,771</w:t>
            </w:r>
          </w:p>
        </w:tc>
        <w:tc>
          <w:tcPr>
            <w:tcW w:type="dxa" w:w="19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H₀ nu se respinge</w:t>
            </w:r>
          </w:p>
        </w:tc>
      </w:tr>
      <w:tr>
        <w:trPr>
          <w:cantSplit/>
        </w:trPr>
        <w:tc>
          <w:tcPr>
            <w:tcW w:type="dxa" w:w="204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Jarque–Bera</w:t>
            </w:r>
          </w:p>
        </w:tc>
        <w:tc>
          <w:tcPr>
            <w:tcW w:type="dxa" w:w="2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Reziduurile sunt normal distribuite</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0,32</w:t>
            </w:r>
          </w:p>
        </w:tc>
        <w:tc>
          <w:tcPr>
            <w:tcW w:type="dxa" w:w="10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0,852</w:t>
            </w:r>
          </w:p>
        </w:tc>
        <w:tc>
          <w:tcPr>
            <w:tcW w:type="dxa" w:w="19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H₀ nu se respinge</w:t>
            </w:r>
          </w:p>
        </w:tc>
      </w:tr>
      <w:tr>
        <w:trPr>
          <w:cantSplit/>
        </w:trPr>
        <w:tc>
          <w:tcPr>
            <w:tcW w:type="dxa" w:w="204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ARCH-LM (12 laguri)</w:t>
            </w:r>
          </w:p>
        </w:tc>
        <w:tc>
          <w:tcPr>
            <w:tcW w:type="dxa" w:w="27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Varianța erorilor este constantă</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15,33</w:t>
            </w:r>
          </w:p>
        </w:tc>
        <w:tc>
          <w:tcPr>
            <w:tcW w:type="dxa" w:w="10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0,224</w:t>
            </w:r>
          </w:p>
        </w:tc>
        <w:tc>
          <w:tcPr>
            <w:tcW w:type="dxa" w:w="19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H₀ nu se respinge</w:t>
            </w:r>
          </w:p>
        </w:tc>
      </w:tr>
    </w:tbl>
    <w:p>
      <w:pPr>
        <w:spacing w:after="200" w:before="40" w:line="240"/>
        <w:ind w:firstLine="0"/>
        <w:jc w:val="left"/>
      </w:pPr>
      <w:r>
        <w:rPr>
          <w:i/>
          <w:iCs/>
          <w:color w:val="7A8191"/>
          <w:sz w:val="18"/>
          <w:szCs w:val="18"/>
        </w:rPr>
        <w:t xml:space="preserve">Sursa: Calcule proprii pe seria simulată.</w:t>
      </w:r>
    </w:p>
    <w:p>
      <w:pPr>
        <w:pStyle w:val="Heading2"/>
        <w:keepNext/>
      </w:pPr>
      <w:r>
        <w:t xml:space="preserve">3.5. Prognoza și evaluarea ei</w:t>
      </w:r>
    </w:p>
    <w:p>
      <w:r>
        <w:t xml:space="preserve">Prognoza pentru luna 109 se obține din ecuația (3.1): ŷ₁₀₉ = 3,30 + 0,493 · (3,30 − 2,87) = 3,51%. Pe orizonturi mai lungi, prognoza converge rapid spre 3,72%, iar intervalul de încredere de 95% se lărgește de la ±0,62 pp în prima lună la ±3,92 pp în luna a 12-a (Tabelul 8, Figura 7).</w:t>
      </w:r>
    </w:p>
    <w:p>
      <w:pPr>
        <w:keepNext/>
        <w:spacing w:after="80" w:before="200" w:line="260"/>
        <w:ind w:firstLine="0"/>
        <w:jc w:val="left"/>
      </w:pPr>
      <w:r>
        <w:rPr>
          <w:b/>
          <w:bCs/>
          <w:sz w:val="22"/>
          <w:szCs w:val="22"/>
        </w:rPr>
        <w:t xml:space="preserve">Tabelul 8.</w:t>
      </w:r>
      <w:r>
        <w:rPr>
          <w:sz w:val="22"/>
          <w:szCs w:val="22"/>
        </w:rPr>
        <w:t xml:space="preserve"> Prognoza pentru lunile 109–120 comparată cu valorile efective (%)</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Luna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Efectiv</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Prognoză</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Limita inf. 95%</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Limita sup. 95%</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Eroarea</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109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3,49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3,51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4,13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−0,02</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110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3,61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3,62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2,51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4,73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−0,01</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111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3,89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5,21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0,22</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112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4,16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3,69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1,77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5,62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0,47</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113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4,16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3,71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5,96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0,45</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114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3,95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3,71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1,16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6,27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0,24</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3,72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3,72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0,89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6,54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116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3,32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3,72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0,64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6,79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−0,40</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117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3,34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3,72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7,03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−0,38</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118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4,07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3,72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7,24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0,35</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119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4,28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3,72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7,45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0,56</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120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4,38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3,72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−0,20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7,64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0,66</w:t>
            </w:r>
          </w:p>
        </w:tc>
      </w:tr>
    </w:tbl>
    <w:p>
      <w:pPr>
        <w:keepNext/>
        <w:spacing w:after="0" w:before="60" w:line="240"/>
        <w:ind w:firstLine="0"/>
        <w:jc w:val="left"/>
      </w:pPr>
      <w:r>
        <w:rPr>
          <w:i/>
          <w:iCs/>
          <w:sz w:val="18"/>
          <w:szCs w:val="18"/>
        </w:rPr>
        <w:t xml:space="preserve">Notă.</w:t>
      </w:r>
      <w:r>
        <w:rPr>
          <w:sz w:val="18"/>
          <w:szCs w:val="18"/>
        </w:rPr>
        <w:t xml:space="preserve"> Eroarea = valoarea efectivă − prognoza. Prognoză dinamică, făcută o singură dată, din luna 108.</w:t>
      </w:r>
    </w:p>
    <w:p>
      <w:pPr>
        <w:spacing w:after="200" w:before="40" w:line="240"/>
        <w:ind w:firstLine="0"/>
        <w:jc w:val="left"/>
      </w:pPr>
      <w:r>
        <w:rPr>
          <w:i/>
          <w:iCs/>
          <w:color w:val="7A8191"/>
          <w:sz w:val="18"/>
          <w:szCs w:val="18"/>
        </w:rPr>
        <w:t xml:space="preserve">Sursa: Calcule proprii pe seria simulată.</w:t>
      </w:r>
    </w:p>
    <w:p>
      <w:pPr>
        <w:keepNext/>
        <w:spacing w:after="60" w:before="160" w:line="240"/>
        <w:ind w:firstLine="0"/>
        <w:jc w:val="center"/>
      </w:pPr>
      <w:r>
        <w:drawing>
          <wp:inline distT="0" distB="0" distL="0" distR="0">
            <wp:extent cx="5762625" cy="2743200"/>
            <wp:effectExtent t="0" r="0" b="0" l="0"/>
            <wp:docPr id="7" name="Figura 7" descr="Prognoza ARIMA(1,1,0) și valorile efective în lunile 109–120 (%)" title="Prognoza ARIMA(1,1,0) și valorile efective în lunile 109–1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Prognoza ARIMA(1,1,0) și valorile efective în lunile 109–120 (%)</w:t>
      </w:r>
    </w:p>
    <w:p>
      <w:pPr>
        <w:spacing w:after="200" w:line="240"/>
        <w:ind w:firstLine="0"/>
        <w:jc w:val="center"/>
      </w:pPr>
      <w:r>
        <w:rPr>
          <w:i/>
          <w:iCs/>
          <w:color w:val="7A8191"/>
          <w:sz w:val="18"/>
          <w:szCs w:val="18"/>
        </w:rPr>
        <w:t xml:space="preserve">Sursa: Prelucrare proprie.</w:t>
      </w:r>
    </w:p>
    <w:p>
      <w:r>
        <w:t xml:space="preserve">Toate valorile efective se află în intervalul de încredere de 95%. Față de modelul naiv, care folosește ultima valoare observată (3,30%) pentru toate cele 12 luni, ARIMA(1,1,0) reduce RMSE de la 0,66 la 0,38 pp (cu aproximativ 43%) și MAPE de la 13,9% la 7,9% (Tabelul 9, Figura 8). </w:t>
      </w:r>
      <w:r>
        <w:rPr>
          <w:b/>
          <w:bCs/>
        </w:rPr>
        <w:t xml:space="preserve">Ipoteza I3 se confirmă.</w:t>
      </w:r>
    </w:p>
    <w:p>
      <w:pPr>
        <w:keepNext/>
        <w:spacing w:after="80" w:before="200" w:line="260"/>
        <w:ind w:firstLine="0"/>
        <w:jc w:val="left"/>
      </w:pPr>
      <w:r>
        <w:rPr>
          <w:b/>
          <w:bCs/>
          <w:sz w:val="22"/>
          <w:szCs w:val="22"/>
        </w:rPr>
        <w:t xml:space="preserve">Tabelul 9.</w:t>
      </w:r>
      <w:r>
        <w:rPr>
          <w:sz w:val="22"/>
          <w:szCs w:val="22"/>
        </w:rPr>
        <w:t xml:space="preserve"> Acuratețea prognozei pe eșantionul de test (12 luni)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Indicatorul</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ARIMA(1,1,0)</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Model naiv</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RMSE (pp)</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0,38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0,66</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MAE (pp)</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0,31</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0,56</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MAPE (procente)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7,9</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13,9</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Eroarea medie (pp)</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0,56</w:t>
            </w:r>
          </w:p>
        </w:tc>
      </w:tr>
    </w:tbl>
    <w:p>
      <w:pPr>
        <w:spacing w:after="200" w:before="40" w:line="240"/>
        <w:ind w:firstLine="0"/>
        <w:jc w:val="left"/>
      </w:pPr>
      <w:r>
        <w:rPr>
          <w:i/>
          <w:iCs/>
          <w:color w:val="7A8191"/>
          <w:sz w:val="18"/>
          <w:szCs w:val="18"/>
        </w:rPr>
        <w:t xml:space="preserve">Sursa: Calcule proprii pe seria simulată; pp = puncte procentuale.</w:t>
      </w:r>
    </w:p>
    <w:p>
      <w:pPr>
        <w:keepNext/>
        <w:spacing w:after="60" w:before="160" w:line="240"/>
        <w:ind w:firstLine="0"/>
        <w:jc w:val="center"/>
      </w:pPr>
      <w:r>
        <w:drawing>
          <wp:inline distT="0" distB="0" distL="0" distR="0">
            <wp:extent cx="5762625" cy="2647950"/>
            <wp:effectExtent t="0" r="0" b="0" l="0"/>
            <wp:docPr id="8" name="Figura 8" descr="Erorile de prognoză: ARIMA(1,1,0) și modelul naiv (puncte procentuale)" title="Erorile de prognoză: ARIMA(1,1,0) și modelul naiv (puncte procentu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647950"/>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Erorile de prognoză: ARIMA(1,1,0) și modelul naiv (puncte procentuale)</w:t>
      </w:r>
    </w:p>
    <w:p>
      <w:pPr>
        <w:spacing w:after="200" w:line="240"/>
        <w:ind w:firstLine="0"/>
        <w:jc w:val="center"/>
      </w:pPr>
      <w:r>
        <w:rPr>
          <w:i/>
          <w:iCs/>
          <w:color w:val="7A8191"/>
          <w:sz w:val="18"/>
          <w:szCs w:val="18"/>
        </w:rPr>
        <w:t xml:space="preserve">Sursa: Prelucrare proprie.</w:t>
      </w:r>
    </w:p>
    <w:p>
      <w:pPr>
        <w:pStyle w:val="Heading2"/>
        <w:keepNext/>
      </w:pPr>
      <w:r>
        <w:t xml:space="preserve">3.6. Interpretarea autorului</w:t>
      </w:r>
    </w:p>
    <w:p>
      <w:r>
        <w:rPr>
          <w:b/>
          <w:bCs/>
        </w:rPr>
        <w:t xml:space="preserve">Modelul recuperează procesul generator.</w:t>
      </w:r>
      <w:r>
        <w:t xml:space="preserve"> Seria a fost simulată cu un coeficient autoregresiv de 0,5 pentru prima diferență, iar estimarea dă 0,493, cu un interval de încredere de 95% între 0,33 și 0,66. Metodologia Box–Jenkins a identificat corect forma modelului atât din ACF/PACF, cât și din AIC și BIC.</w:t>
      </w:r>
    </w:p>
    <w:p>
      <w:r>
        <w:rPr>
          <w:b/>
          <w:bCs/>
        </w:rPr>
        <w:t xml:space="preserve">Prognoza este utilă pe termen scurt.</w:t>
      </w:r>
      <w:r>
        <w:t xml:space="preserve"> Erorile sunt sub 0,25 pp în primele trei luni, apoi cresc; în ultimele trei luni modelul nu anticipează reaccelerarea inflației (eroare de până la 0,66 pp). Eroarea medie pozitivă (0,18 pp) arată că modelul a subestimat ușor inflația pe perioada de test.</w:t>
      </w:r>
    </w:p>
    <w:p>
      <w:commentRangeStart w:id="12"/>
      <w:r>
        <w:rPr>
          <w:b/>
          <w:bCs/>
        </w:rPr>
        <w:t xml:space="preserve">Propunere:</w:t>
      </w:r>
      <w:r>
        <w:t xml:space="preserve"> pentru date reale recomandăm reestimarea lunară a modelului și compararea cu un model care include variabile explicative (de exemplu cursul de schimb), conform studiilor din Tabelul 2.</w:t>
      </w:r>
      <w:commentRangeEnd w:id="12"/>
      <w:r>
        <w:commentReference w:id="12"/>
      </w:r>
    </w:p>
    <w:p>
      <w:pPr>
        <w:pStyle w:val="Heading1"/>
        <w:pageBreakBefore/>
      </w:pPr>
      <w:commentRangeStart w:id="13"/>
      <w:r>
        <w:t xml:space="preserve">Concluzii</w:t>
      </w:r>
      <w:commentRangeEnd w:id="13"/>
      <w:r>
        <w:commentReference w:id="13"/>
      </w:r>
    </w:p>
    <w:p>
      <w:r>
        <w:t xml:space="preserve">Toate cele trei ipoteze s-au confirmat. Seria simulată a ratei inflației este integrată de ordinul 1 (I1). Modelul ARIMA(1,1,0), ales atât după ACF/PACF, cât și după AIC și BIC, are reziduuri de tip zgomot alb (I2). Pe cele 12 luni de test, prognoza ARIMA are RMSE de 0,38 pp și MAPE de 7,9%, față de 0,66 pp și 13,9% pentru modelul naiv (I3).</w:t>
      </w:r>
    </w:p>
    <w:p>
      <w:r>
        <w:rPr>
          <w:b/>
          <w:bCs/>
        </w:rPr>
        <w:t xml:space="preserve">Limitele lucrării:</w:t>
      </w:r>
      <w:r>
        <w:t xml:space="preserve"> datele sunt simulate, deci lipsesc șocurile reale (prețul energiei, cursul de schimb, modificările de taxe); modelul este univariat; evaluarea folosește o singură fereastră de test. Extinderi posibile: aplicarea pe date oficiale, modele SARIMA pentru indicii lunari și comparația cu modele VAR.</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Akaike, H. (1974). A new look at the statistical model identification. </w:t>
      </w:r>
      <w:r>
        <w:rPr>
          <w:i/>
          <w:iCs/>
        </w:rPr>
        <w:t xml:space="preserve">IEEE Transactions on Automatic Control, 19</w:t>
      </w:r>
      <w:r>
        <w:t xml:space="preserve">(6), 716–723.</w:t>
      </w:r>
    </w:p>
    <w:p>
      <w:pPr>
        <w:spacing w:after="100" w:line="300"/>
        <w:ind w:left="709" w:hanging="709" w:firstLine="0"/>
        <w:jc w:val="left"/>
      </w:pPr>
      <w:r>
        <w:t xml:space="preserve">Box, G. E. P., Jenkins, G. M., Reinsel, G. C., &amp; Ljung, G. M. (2015). </w:t>
      </w:r>
      <w:r>
        <w:rPr>
          <w:i/>
          <w:iCs/>
        </w:rPr>
        <w:t xml:space="preserve">Time series analysis: Forecasting and control</w:t>
      </w:r>
      <w:r>
        <w:t xml:space="preserve"> (5th ed.). Wiley.</w:t>
      </w:r>
    </w:p>
    <w:p>
      <w:pPr>
        <w:spacing w:after="100" w:line="300"/>
        <w:ind w:left="709" w:hanging="709" w:firstLine="0"/>
        <w:jc w:val="left"/>
      </w:pPr>
      <w:r>
        <w:t xml:space="preserve">Dickey, D. A., &amp; Fuller, W. A. (1979). Distribution of the estimators for autoregressive time series with a unit root. </w:t>
      </w:r>
      <w:r>
        <w:rPr>
          <w:i/>
          <w:iCs/>
        </w:rPr>
        <w:t xml:space="preserve">Journal of the American Statistical Association, 74</w:t>
      </w:r>
      <w:r>
        <w:t xml:space="preserve">(366), 427–431.</w:t>
      </w:r>
    </w:p>
    <w:p>
      <w:pPr>
        <w:spacing w:after="100" w:line="300"/>
        <w:ind w:left="709" w:hanging="709" w:firstLine="0"/>
        <w:jc w:val="left"/>
      </w:pPr>
      <w:r>
        <w:t xml:space="preserve">Hyndman, R. J., &amp; Athanasopoulos, G. (2021). </w:t>
      </w:r>
      <w:r>
        <w:rPr>
          <w:i/>
          <w:iCs/>
        </w:rPr>
        <w:t xml:space="preserve">Forecasting: Principles and practice</w:t>
      </w:r>
      <w:r>
        <w:t xml:space="preserve"> (3rd ed.). OTexts.</w:t>
      </w:r>
    </w:p>
    <w:p>
      <w:pPr>
        <w:spacing w:after="100" w:line="300"/>
        <w:ind w:left="709" w:hanging="709" w:firstLine="0"/>
        <w:jc w:val="left"/>
      </w:pPr>
      <w:r>
        <w:t xml:space="preserve">Ionescu, C., &amp; Radu, B. (2023). Componenta sezonieră în prognoza inflației lunare. </w:t>
      </w:r>
      <w:r>
        <w:rPr>
          <w:i/>
          <w:iCs/>
        </w:rPr>
        <w:t xml:space="preserve">Revista de Econometrie Aplicată (exemplu), 5</w:t>
      </w:r>
      <w:r>
        <w:t xml:space="preserve">(1), 33–48 (articol fictiv).</w:t>
      </w:r>
    </w:p>
    <w:p>
      <w:pPr>
        <w:spacing w:after="100" w:line="300"/>
        <w:ind w:left="709" w:hanging="709" w:firstLine="0"/>
        <w:jc w:val="left"/>
      </w:pPr>
      <w:r>
        <w:t xml:space="preserve">Ljung, G. M., &amp; Box, G. E. P. (1978). On a measure of lack of fit in time series models. </w:t>
      </w:r>
      <w:r>
        <w:rPr>
          <w:i/>
          <w:iCs/>
        </w:rPr>
        <w:t xml:space="preserve">Biometrika, 65</w:t>
      </w:r>
      <w:r>
        <w:t xml:space="preserve">(2), 297–303.</w:t>
      </w:r>
    </w:p>
    <w:p>
      <w:pPr>
        <w:spacing w:after="100" w:line="300"/>
        <w:ind w:left="709" w:hanging="709" w:firstLine="0"/>
        <w:jc w:val="left"/>
      </w:pPr>
      <w:r>
        <w:t xml:space="preserve">Marin, D. (2024). </w:t>
      </w:r>
      <w:r>
        <w:rPr>
          <w:i/>
          <w:iCs/>
        </w:rPr>
        <w:t xml:space="preserve">Modele VAR pentru prognoza inflației</w:t>
      </w:r>
      <w:r>
        <w:t xml:space="preserve">. Editura Exemplu (lucrare fictivă).</w:t>
      </w:r>
    </w:p>
    <w:p>
      <w:pPr>
        <w:spacing w:after="100" w:line="300"/>
        <w:ind w:left="709" w:hanging="709" w:firstLine="0"/>
        <w:jc w:val="left"/>
      </w:pPr>
      <w:r>
        <w:t xml:space="preserve">Popescu, A. (2021). Prognoza inflației cu modele ARIMA: o comparație cu modelul naiv. </w:t>
      </w:r>
      <w:r>
        <w:rPr>
          <w:i/>
          <w:iCs/>
        </w:rPr>
        <w:t xml:space="preserve">Studii de Cibernetică Economică (exemplu), 12</w:t>
      </w:r>
      <w:r>
        <w:t xml:space="preserve">(2), 15–29 (articol fictiv).</w:t>
      </w:r>
    </w:p>
    <w:p>
      <w:pPr>
        <w:spacing w:after="100" w:line="300"/>
        <w:ind w:left="709" w:hanging="709" w:firstLine="0"/>
        <w:jc w:val="left"/>
      </w:pPr>
      <w:r>
        <w:t xml:space="preserve">Schwarz, G. (1978). Estimating the dimension of a model. </w:t>
      </w:r>
      <w:r>
        <w:rPr>
          <w:i/>
          <w:iCs/>
        </w:rPr>
        <w:t xml:space="preserve">The Annals of Statistics, 6</w:t>
      </w:r>
      <w:r>
        <w:t xml:space="preserve">(2), 461–464.</w:t>
      </w:r>
    </w:p>
    <w:p>
      <w:pPr>
        <w:pStyle w:val="Heading1"/>
        <w:pageBreakBefore/>
      </w:pPr>
      <w:commentRangeStart w:id="15"/>
      <w:r>
        <w:t xml:space="preserve">Anexa 1. Codul Python pentru simulare, estimare și prognoză</w:t>
      </w:r>
      <w:commentRangeEnd w:id="15"/>
      <w:r>
        <w:commentReference w:id="15"/>
      </w:r>
    </w:p>
    <w:p>
      <w:r>
        <w:t xml:space="preserve">Seria a fost generată din procesul Δyₜ = 0,5 · Δyₜ₋₁ + εₜ, cu εₜ ~ N(0; 0,32²) și y₁ = 3,0, rotunjită la două zecimale.</w:t>
      </w:r>
    </w:p>
    <w:p>
      <w:pPr>
        <w:shd w:fill="F3F4F6" w:color="auto" w:val="clear"/>
        <w:spacing w:after="0" w:before="120" w:line="240"/>
        <w:ind w:left="200" w:right="200" w:firstLine="0"/>
        <w:jc w:val="left"/>
      </w:pPr>
      <w:r>
        <w:rPr>
          <w:rFonts w:ascii="Courier New" w:cs="Courier New" w:eastAsia="Courier New" w:hAnsi="Courier New"/>
          <w:sz w:val="17"/>
          <w:szCs w:val="17"/>
        </w:rPr>
        <w:t xml:space="preserve">import numpy as np</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from statsmodels.tsa.stattools import adfuller</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from statsmodels.tsa.arima.model import ARIMA</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rng = np.random.default_rng(160)</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e = rng.normal(0, 0.32, 120)</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d = np.zeros(120)</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for t in range(1, 120):</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d[t] = 0.5 * d[t - 1] + e[t]</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y = np.round(3.0 + np.cumsum(d), 2)</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train, test = y[:108], y[108:]</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print(adfuller(train, regression="c", autolag="AIC")[:2])</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print(adfuller(np.diff(train), regression="c", autolag="AIC")[:2])</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for order in [(1,1,0), (2,1,0), (0,1,1), (1,1,1), (0,1,2)]:</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m = ARIMA(train, order=order).fit()</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print(order, round(m.aic, 2), round(m.bic, 2))</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best = ARIMA(train, order=(1, 1, 0)).fit()</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fc = best.get_forecast(12)</w:t>
      </w:r>
    </w:p>
    <w:p>
      <w:pPr>
        <w:shd w:fill="F3F4F6" w:color="auto" w:val="clear"/>
        <w:spacing w:after="160" w:before="0" w:line="240"/>
        <w:ind w:left="200" w:right="200" w:firstLine="0"/>
        <w:jc w:val="left"/>
      </w:pPr>
      <w:r>
        <w:rPr>
          <w:rFonts w:ascii="Courier New" w:cs="Courier New" w:eastAsia="Courier New" w:hAnsi="Courier New"/>
          <w:sz w:val="17"/>
          <w:szCs w:val="17"/>
        </w:rPr>
        <w:t xml:space="preserve">print(fc.predicted_mean, fc.conf_int(alpha=0.05))</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Cibernetică Economică.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Am facut testul ADF si seria e stationara. Am ales modelul ARIMA(1,1,0) pentru ca e cel mai bun. Coeficientul este 0.493 deci inflatia creste cu 49% in fiecare luna. Prognoza este foarte buna, deci modelul poate fi folosit de BNR.</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Testul ADF nu respinge ipoteza rădăcinii unitare pentru seria în nivel (p = 0,396), dar o respinge pentru prima diferență (p = 0,003), deci seria este integrată de ordinul 1 (Tabelul 4). Modelul ARIMA(1,1,0) are cele mai mici valori ale criteriilor AIC (60,64) și BIC (65,98) dintre modelele estimate. Coeficientul φ₁ = 0,493 arată că aproximativ jumătate din variația lunară a inflației se transmite în luna următoare. Pe eșantionul de test, prognoza are un RMSE de 0,38 pp, cu 43% mai mic decât al modelului naiv (Box et al., 2015).</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și virgula zecimală, obligatorii în lucrare.</w:t>
      </w:r>
    </w:p>
    <w:p>
      <w:pPr>
        <w:tabs>
          <w:tab w:val="left" w:pos="709"/>
        </w:tabs>
        <w:spacing w:after="60"/>
        <w:ind w:left="709" w:hanging="357" w:firstLine="0"/>
        <w:jc w:val="left"/>
      </w:pPr>
      <w:r>
        <w:t xml:space="preserve">2.	</w:t>
      </w:r>
      <w:r>
        <w:t xml:space="preserve">Testul ADF este raportat complet, pentru nivel și pentru prima diferență, cu valoarea p și concluzia.</w:t>
      </w:r>
    </w:p>
    <w:p>
      <w:pPr>
        <w:tabs>
          <w:tab w:val="left" w:pos="709"/>
        </w:tabs>
        <w:spacing w:after="60"/>
        <w:ind w:left="709" w:hanging="357" w:firstLine="0"/>
        <w:jc w:val="left"/>
      </w:pPr>
      <w:r>
        <w:t xml:space="preserve">3.	</w:t>
      </w:r>
      <w:r>
        <w:t xml:space="preserve">„Cel mai bun” a devenit criteriul concret: AIC și BIC.</w:t>
      </w:r>
    </w:p>
    <w:p>
      <w:pPr>
        <w:tabs>
          <w:tab w:val="left" w:pos="709"/>
        </w:tabs>
        <w:spacing w:after="60"/>
        <w:ind w:left="709" w:hanging="357" w:firstLine="0"/>
        <w:jc w:val="left"/>
      </w:pPr>
      <w:r>
        <w:t xml:space="preserve">4.	</w:t>
      </w:r>
      <w:r>
        <w:t xml:space="preserve">Coeficientul este interpretat corect: se referă la variația inflației (Δyₜ), nu la o creștere de 49% pe lună.</w:t>
      </w:r>
    </w:p>
    <w:p>
      <w:pPr>
        <w:tabs>
          <w:tab w:val="left" w:pos="709"/>
        </w:tabs>
        <w:spacing w:after="60"/>
        <w:ind w:left="709" w:hanging="357" w:firstLine="0"/>
        <w:jc w:val="left"/>
      </w:pPr>
      <w:r>
        <w:t xml:space="preserve">5.	</w:t>
      </w:r>
      <w:r>
        <w:t xml:space="preserve">„Poate fi folosit de BNR” a devenit un rezultat măsurat (RMSE comparat cu modelul naiv), cu citare APA.</w:t>
      </w:r>
    </w:p>
    <w:p>
      <w:pPr>
        <w:spacing w:before="360"/>
        <w:ind w:firstLine="0"/>
        <w:jc w:val="left"/>
      </w:pPr>
      <w:r>
        <w:rPr>
          <w:b/>
          <w:bCs/>
        </w:rPr>
        <w:t xml:space="preserve">Vrei aceeași corectare pentru lucrarea ta? </w:t>
      </w:r>
      <w:hyperlink w:history="1" r:id="rIdep6vhhhmh7hdgltw8i9sr">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mczfhqaglcr_nir5gr0p_">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xvzn_yw7e0yckwebjoozi">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fenomenul economic, motivează abordarea cantitativă, formulează ipotezele și obiectivele și anunță structura lucrării.</w:t>
      </w:r>
    </w:p>
    <w:p>
      <w:r>
        <w:rPr>
          <w:rFonts w:ascii="Arial" w:cs="Arial" w:eastAsia="Arial" w:hAnsi="Arial"/>
          <w:b/>
          <w:bCs/>
          <w:sz w:val="16"/>
          <w:szCs w:val="16"/>
        </w:rPr>
        <w:t xml:space="preserve">Ghid: </w:t>
      </w:r>
      <w:hyperlink w:history="1" r:id="rIdif7fnylfbkazvtdzhlx1y">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Formulează ipotezele astfel încât fiecare să fie verificată de un test concret din Capitolul 3: I1 prin testul ADF, I2 prin testul Ljung–Box, I3 prin RMSE și MAPE.</w:t>
      </w:r>
    </w:p>
    <w:p>
      <w:r>
        <w:rPr>
          <w:rFonts w:ascii="Arial" w:cs="Arial" w:eastAsia="Arial" w:hAnsi="Arial"/>
          <w:b/>
          <w:bCs/>
          <w:sz w:val="16"/>
          <w:szCs w:val="16"/>
        </w:rPr>
        <w:t xml:space="preserve">Ghid: </w:t>
      </w:r>
      <w:hyperlink w:history="1" r:id="rIdoe3dc0gco2bjke2b8db2c">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definește modelele și testele pe care le folosești, cu ecuații și notații explicite, și arată ce au obținut alți autori. Nu copia demonstrații: definește doar ce aplici.</w:t>
      </w:r>
    </w:p>
    <w:p>
      <w:r>
        <w:rPr>
          <w:rFonts w:ascii="Arial" w:cs="Arial" w:eastAsia="Arial" w:hAnsi="Arial"/>
          <w:b/>
          <w:bCs/>
          <w:sz w:val="16"/>
          <w:szCs w:val="16"/>
        </w:rPr>
        <w:t xml:space="preserve">Ghid: </w:t>
      </w:r>
      <w:hyperlink w:history="1" r:id="rIda2dokifxlm2dheudd8ygq">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În APA, fiecare sursă din tabelul de sinteză apare și în bibliografie. Nu cita un manual pe care nu l-ai consultat doar pentru că apare în alte lucrări; folosește ediția pe care ai citit-o.</w:t>
      </w:r>
    </w:p>
    <w:p>
      <w:r>
        <w:rPr>
          <w:rFonts w:ascii="Arial" w:cs="Arial" w:eastAsia="Arial" w:hAnsi="Arial"/>
          <w:b/>
          <w:bCs/>
          <w:sz w:val="16"/>
          <w:szCs w:val="16"/>
        </w:rPr>
        <w:t xml:space="preserve">Ghid: </w:t>
      </w:r>
      <w:hyperlink w:history="1" r:id="rIden9cnah8-x-ke-nscatar">
        <w:r>
          <w:rPr>
            <w:rFonts w:ascii="Arial" w:cs="Arial" w:eastAsia="Arial" w:hAnsi="Arial"/>
            <w:color w:val="4B7A5E"/>
            <w:sz w:val="16"/>
            <w:szCs w:val="16"/>
            <w:u w:val="single"/>
          </w:rPr>
          <w:t xml:space="preserve">licenta-disertatie-romania.com/blog/citare-apa-licenta/</w:t>
        </w:r>
      </w:hyperlink>
    </w:p>
  </w:comment>
  <w:comment w:id="8" w:initials="LR" w:author="Rolul secțiunii" w:date="2026-05-20T10:00:00.000Z">
    <w:p>
      <w:r>
        <w:rPr>
          <w:sz w:val="18"/>
          <w:szCs w:val="18"/>
        </w:rPr>
        <w:t xml:space="preserve">Capitolul de date și metodologie spune de unde provin datele, cum au fost prelucrate și în ce ordine se aplică testele. La Cibernetică se menționează și software-ul, cu versiunea.</w:t>
      </w:r>
    </w:p>
  </w:comment>
  <w:comment w:id="9" w:initials="LR" w:author="Greșeală frecventă" w:date="2026-05-20T10:00:00.000Z">
    <w:p>
      <w:r>
        <w:rPr>
          <w:sz w:val="18"/>
          <w:szCs w:val="18"/>
        </w:rPr>
        <w:t xml:space="preserve">Seria este simulată și nu reprezintă inflația din România. În lucrarea ta folosește date oficiale (de exemplu INS, tempo-online, sau Eurostat), cu sursa, codul seriei și data descărcării, și nu prezenta niciodată date simulate drept date reale.</w:t>
      </w:r>
    </w:p>
  </w:comment>
  <w:comment w:id="10" w:initials="LR" w:author="Sfat" w:date="2026-05-20T10:00:00.000Z">
    <w:p>
      <w:r>
        <w:rPr>
          <w:sz w:val="18"/>
          <w:szCs w:val="18"/>
        </w:rPr>
        <w:t xml:space="preserve">Comisiile de la Cibernetică întreabă des de ce ai păstrat ultimele observații pentru test. Răspunsul: o prognoză se evaluează pe date pe care modelul nu le-a văzut la estimare (evaluare în afara eșantionului).</w:t>
      </w:r>
    </w:p>
  </w:comment>
  <w:comment w:id="11" w:initials="LR" w:author="Rolul secțiunii" w:date="2026-05-20T10:00:00.000Z">
    <w:p>
      <w:r>
        <w:rPr>
          <w:sz w:val="18"/>
          <w:szCs w:val="18"/>
        </w:rPr>
        <w:t xml:space="preserve">Acesta este capitolul cu contribuția ta: aplici testele, compari modelele, verifici reziduurile și evaluezi prognoza. Fiecare output este însoțit de interpretare: statistica testului, valoarea p și concluzia.</w:t>
      </w:r>
    </w:p>
  </w:comment>
  <w:comment w:id="12" w:initials="LR" w:author="Greșeală frecventă" w:date="2026-05-20T10:00:00.000Z">
    <w:p>
      <w:r>
        <w:rPr>
          <w:sz w:val="18"/>
          <w:szCs w:val="18"/>
        </w:rPr>
        <w:t xml:space="preserve">Un model validat statistic nu explică de ce se schimbă inflația. Nu trage concluzii de politică monetară dintr-un model univariat; spune clar că ARIMA este un instrument de prognoză, nu un model cauzal.</w:t>
      </w:r>
    </w:p>
  </w:comment>
  <w:comment w:id="13" w:initials="LR" w:author="Rolul secțiunii" w:date="2026-05-20T10:00:00.000Z">
    <w:p>
      <w:r>
        <w:rPr>
          <w:sz w:val="18"/>
          <w:szCs w:val="18"/>
        </w:rPr>
        <w:t xml:space="preserve">Concluziile reiau ipotezele una câte una și spun dacă s-au confirmat, apoi prezintă limitele modelului și direcțiile de extindere.</w:t>
      </w:r>
    </w:p>
    <w:p>
      <w:r>
        <w:rPr>
          <w:rFonts w:ascii="Arial" w:cs="Arial" w:eastAsia="Arial" w:hAnsi="Arial"/>
          <w:b/>
          <w:bCs/>
          <w:sz w:val="16"/>
          <w:szCs w:val="16"/>
        </w:rPr>
        <w:t xml:space="preserve">Ghid: </w:t>
      </w:r>
      <w:hyperlink w:history="1" r:id="rIdduojh1z0u4lkwozy5auhj">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Bibliografia este în stil APA (ediția a 7-a), în ordine alfabetică. Lucrările lui Akaike, Box et al., Dickey și Fuller, Hyndman și Athanasopoulos, Ljung și Box și Schwarz sunt reale; studiile românești sunt inventate pentru exemplu.</w:t>
      </w:r>
    </w:p>
    <w:p>
      <w:r>
        <w:rPr>
          <w:rFonts w:ascii="Arial" w:cs="Arial" w:eastAsia="Arial" w:hAnsi="Arial"/>
          <w:b/>
          <w:bCs/>
          <w:sz w:val="16"/>
          <w:szCs w:val="16"/>
        </w:rPr>
        <w:t xml:space="preserve">Ghid: </w:t>
      </w:r>
      <w:hyperlink w:history="1" r:id="rIdmhwvdtwr9jeafc1prjwsr">
        <w:r>
          <w:rPr>
            <w:rFonts w:ascii="Arial" w:cs="Arial" w:eastAsia="Arial" w:hAnsi="Arial"/>
            <w:color w:val="4B7A5E"/>
            <w:sz w:val="16"/>
            <w:szCs w:val="16"/>
            <w:u w:val="single"/>
          </w:rPr>
          <w:t xml:space="preserve">licenta-disertatie-romania.com/resurse/generator-citare-apa/</w:t>
        </w:r>
      </w:hyperlink>
    </w:p>
  </w:comment>
  <w:comment w:id="15" w:initials="LR" w:author="Rolul secțiunii" w:date="2026-05-20T10:00:00.000Z">
    <w:p>
      <w:r>
        <w:rPr>
          <w:sz w:val="18"/>
          <w:szCs w:val="18"/>
        </w:rPr>
        <w:t xml:space="preserve">În anexă pui codul sau output-ul complet din EViews / R / Python, ca analiza să poată fi reprodusă. În text păstrezi doar tabelele de sinteză.</w:t>
      </w:r>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lsztsumzxpcj-kpwh7r_d">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bwa5wvvptoklhzqixq27o">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mzlwz_kcszsa3xzhhl-4k">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mczfhqaglcr_nir5gr0p_" Type="http://schemas.openxmlformats.org/officeDocument/2006/relationships/hyperlink" Target="https://licenta-disertatie-romania.com/blog/cuprins-lucrare-licenta/" TargetMode="External"/><Relationship Id="rIdxvzn_yw7e0yckwebjoozi" Type="http://schemas.openxmlformats.org/officeDocument/2006/relationships/hyperlink" Target="https://licenta-disertatie-romania.com/blog/formatare-lucrare-licenta/" TargetMode="External"/><Relationship Id="rIdif7fnylfbkazvtdzhlx1y" Type="http://schemas.openxmlformats.org/officeDocument/2006/relationships/hyperlink" Target="https://licenta-disertatie-romania.com/blog/introducere-lucrare-licenta/" TargetMode="External"/><Relationship Id="rIdoe3dc0gco2bjke2b8db2c" Type="http://schemas.openxmlformats.org/officeDocument/2006/relationships/hyperlink" Target="https://licenta-disertatie-romania.com/blog/ipoteze-obiective-lucrare-licenta/" TargetMode="External"/><Relationship Id="rIda2dokifxlm2dheudd8ygq" Type="http://schemas.openxmlformats.org/officeDocument/2006/relationships/hyperlink" Target="https://licenta-disertatie-romania.com/blog/structura-lucrare-licenta/" TargetMode="External"/><Relationship Id="rIden9cnah8-x-ke-nscatar" Type="http://schemas.openxmlformats.org/officeDocument/2006/relationships/hyperlink" Target="https://licenta-disertatie-romania.com/blog/citare-apa-licenta/" TargetMode="External"/><Relationship Id="rIdduojh1z0u4lkwozy5auhj" Type="http://schemas.openxmlformats.org/officeDocument/2006/relationships/hyperlink" Target="https://licenta-disertatie-romania.com/blog/concluzii-lucrare-licenta/" TargetMode="External"/><Relationship Id="rIdmhwvdtwr9jeafc1prjwsr" Type="http://schemas.openxmlformats.org/officeDocument/2006/relationships/hyperlink" Target="https://licenta-disertatie-romania.com/resurse/generator-citare-apa/" TargetMode="External"/><Relationship Id="rIdlsztsumzxpcj-kpwh7r_d"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ep6vhhhmh7hdgltw8i9sr" Type="http://schemas.openxmlformats.org/officeDocument/2006/relationships/hyperlink" Target="https://licenta-disertatie-romania.com/contact/" TargetMode="External"/><Relationship Id="rId10" Type="http://schemas.openxmlformats.org/officeDocument/2006/relationships/image" Target="media/f4c5b2472366fa4fe167be6e95d72b3bbfcc7915.png"/><Relationship Id="rId11" Type="http://schemas.openxmlformats.org/officeDocument/2006/relationships/image" Target="media/21b9e572a2df894f0046621ca8d473a6569a08bb.png"/><Relationship Id="rId12" Type="http://schemas.openxmlformats.org/officeDocument/2006/relationships/image" Target="media/060a377a8f781a6279031196de5e2cb530996496.png"/><Relationship Id="rId13" Type="http://schemas.openxmlformats.org/officeDocument/2006/relationships/image" Target="media/fad9b18cbda94099c71d9e9190e973584e1438e6.png"/><Relationship Id="rId14" Type="http://schemas.openxmlformats.org/officeDocument/2006/relationships/image" Target="media/e2adf2493be2fa6a61e18b275c38af0a8c7792e6.png"/><Relationship Id="rId15" Type="http://schemas.openxmlformats.org/officeDocument/2006/relationships/image" Target="media/63cd996eb436cf9cefb03b90c2ce1eba85c42846.png"/><Relationship Id="rId16" Type="http://schemas.openxmlformats.org/officeDocument/2006/relationships/image" Target="media/add59213e991b9c57e4c01c047034c70d513f263.png"/><Relationship Id="rId17" Type="http://schemas.openxmlformats.org/officeDocument/2006/relationships/image" Target="media/4be73f4e81d8d7f294cfbd0813a4af9d61af858e.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a5wvvptoklhzqixq27o"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mzlwz_kcszsa3xzhhl-4k"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Cibernetică Economică</dc:title>
  <dc:creator>Licenta RO</dc:creator>
  <dc:description>Exemplu fictiv cu date simulate: licenta-disertatie-romania.com</dc:description>
  <cp:lastModifiedBy>Un-named</cp:lastModifiedBy>
  <cp:revision>1</cp:revision>
  <dcterms:created xsi:type="dcterms:W3CDTF">2026-10-05T20:23:30.816Z</dcterms:created>
  <dcterms:modified xsi:type="dcterms:W3CDTF">2026-10-05T20:23:30.817Z</dcterms:modified>
</cp:coreProperties>
</file>

<file path=docProps/custom.xml><?xml version="1.0" encoding="utf-8"?>
<Properties xmlns="http://schemas.openxmlformats.org/officeDocument/2006/custom-properties" xmlns:vt="http://schemas.openxmlformats.org/officeDocument/2006/docPropsVTypes"/>
</file>