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CHIMIE</w:t>
      </w:r>
    </w:p>
    <w:p>
      <w:pPr>
        <w:spacing w:after="0" w:before="60"/>
        <w:ind w:firstLine="0"/>
        <w:jc w:val="center"/>
      </w:pPr>
      <w:r>
        <w:rPr>
          <w:b w:val="false"/>
          <w:bCs w:val="false"/>
          <w:i w:val="false"/>
          <w:iCs w:val="false"/>
        </w:rPr>
        <w:t xml:space="preserve">Programul de studii: Chimie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Determinarea unor metale grele în apa potabilă prin spectrometrie de absorbție atomică</w:t>
      </w:r>
    </w:p>
    <w:p>
      <w:pPr>
        <w:spacing w:after="0" w:before="120"/>
        <w:ind w:firstLine="0"/>
        <w:jc w:val="center"/>
      </w:pPr>
      <w:r>
        <w:rPr>
          <w:b w:val="false"/>
          <w:bCs w:val="false"/>
          <w:i/>
          <w:iCs/>
          <w:sz w:val="24"/>
          <w:szCs w:val="24"/>
        </w:rPr>
        <w:t xml:space="preserve">Plumb, cadmiu și nichel în probe din șase puncte ale unei rețele de distribuție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Radu Stănescu (nume fictiv)</w:t>
      </w:r>
    </w:p>
    <w:p>
      <w:pPr>
        <w:spacing w:before="300"/>
        <w:ind w:firstLine="0"/>
        <w:jc w:val="right"/>
      </w:pPr>
      <w:r>
        <w:rPr>
          <w:b/>
          <w:bCs/>
        </w:rPr>
        <w:t xml:space="preserve">Absolvent:</w:t>
      </w:r>
    </w:p>
    <w:p>
      <w:pPr>
        <w:ind w:firstLine="0"/>
        <w:jc w:val="right"/>
      </w:pPr>
      <w:r>
        <w:t xml:space="preserve">Ioana Marinescu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Marinescu</w:t>
      </w:r>
      <w:r>
        <w:t xml:space="preserve">, absolvent(ă) al(a) programului de studii Chimie, declar pe propria răspundere că lucrarea de licență cu titlul „Determinarea unor metale grele în apa potabilă prin spectrometrie de absorbție atomică”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Metalele grele în apa potabilă și metodele de determinare</w:t>
      </w:r>
      <w:r>
        <w:t xml:space="preserve">	7</w:t>
      </w:r>
    </w:p>
    <w:p>
      <w:pPr>
        <w:tabs>
          <w:tab w:val="right" w:pos="9026" w:leader="dot"/>
        </w:tabs>
        <w:spacing w:after="40" w:line="300"/>
        <w:ind w:left="400" w:firstLine="0"/>
        <w:jc w:val="left"/>
      </w:pPr>
      <w:r>
        <w:rPr>
          <w:b w:val="false"/>
          <w:bCs w:val="false"/>
        </w:rPr>
        <w:t xml:space="preserve">1.1. Surse și efecte asupra sănătății</w:t>
      </w:r>
      <w:r>
        <w:t xml:space="preserve">	7</w:t>
      </w:r>
    </w:p>
    <w:p>
      <w:pPr>
        <w:tabs>
          <w:tab w:val="right" w:pos="9026" w:leader="dot"/>
        </w:tabs>
        <w:spacing w:after="40" w:line="300"/>
        <w:ind w:left="400" w:firstLine="0"/>
        <w:jc w:val="left"/>
      </w:pPr>
      <w:r>
        <w:rPr>
          <w:b w:val="false"/>
          <w:bCs w:val="false"/>
        </w:rPr>
        <w:t xml:space="preserve">1.2. Valorile parametrice</w:t>
      </w:r>
      <w:r>
        <w:t xml:space="preserve">	7</w:t>
      </w:r>
    </w:p>
    <w:p>
      <w:pPr>
        <w:tabs>
          <w:tab w:val="right" w:pos="9026" w:leader="dot"/>
        </w:tabs>
        <w:spacing w:after="40" w:line="300"/>
        <w:ind w:left="400" w:firstLine="0"/>
        <w:jc w:val="left"/>
      </w:pPr>
      <w:r>
        <w:rPr>
          <w:b w:val="false"/>
          <w:bCs w:val="false"/>
        </w:rPr>
        <w:t xml:space="preserve">1.3. Metode instrumentale de determinare</w:t>
      </w:r>
      <w:r>
        <w:t xml:space="preserve">	8</w:t>
      </w:r>
    </w:p>
    <w:p>
      <w:pPr>
        <w:tabs>
          <w:tab w:val="right" w:pos="9026" w:leader="dot"/>
        </w:tabs>
        <w:spacing w:after="40" w:line="300"/>
        <w:ind w:left="0" w:firstLine="0"/>
        <w:jc w:val="left"/>
      </w:pPr>
      <w:r>
        <w:rPr>
          <w:b/>
          <w:bCs/>
        </w:rPr>
        <w:t xml:space="preserve">Capitolul 2. Partea experimentală</w:t>
      </w:r>
      <w:r>
        <w:t xml:space="preserve">	9</w:t>
      </w:r>
    </w:p>
    <w:p>
      <w:pPr>
        <w:tabs>
          <w:tab w:val="right" w:pos="9026" w:leader="dot"/>
        </w:tabs>
        <w:spacing w:after="40" w:line="300"/>
        <w:ind w:left="400" w:firstLine="0"/>
        <w:jc w:val="left"/>
      </w:pPr>
      <w:r>
        <w:rPr>
          <w:b w:val="false"/>
          <w:bCs w:val="false"/>
        </w:rPr>
        <w:t xml:space="preserve">2.1. Reactivi și aparatură</w:t>
      </w:r>
      <w:r>
        <w:t xml:space="preserve">	9</w:t>
      </w:r>
    </w:p>
    <w:p>
      <w:pPr>
        <w:tabs>
          <w:tab w:val="right" w:pos="9026" w:leader="dot"/>
        </w:tabs>
        <w:spacing w:after="40" w:line="300"/>
        <w:ind w:left="400" w:firstLine="0"/>
        <w:jc w:val="left"/>
      </w:pPr>
      <w:r>
        <w:rPr>
          <w:b w:val="false"/>
          <w:bCs w:val="false"/>
        </w:rPr>
        <w:t xml:space="preserve">2.2. Prelevarea probelor</w:t>
      </w:r>
      <w:r>
        <w:t xml:space="preserve">	9</w:t>
      </w:r>
    </w:p>
    <w:p>
      <w:pPr>
        <w:tabs>
          <w:tab w:val="right" w:pos="9026" w:leader="dot"/>
        </w:tabs>
        <w:spacing w:after="40" w:line="300"/>
        <w:ind w:left="400" w:firstLine="0"/>
        <w:jc w:val="left"/>
      </w:pPr>
      <w:r>
        <w:rPr>
          <w:b w:val="false"/>
          <w:bCs w:val="false"/>
        </w:rPr>
        <w:t xml:space="preserve">2.3. Condiții instrumentale</w:t>
      </w:r>
      <w:r>
        <w:t xml:space="preserve">	10</w:t>
      </w:r>
    </w:p>
    <w:p>
      <w:pPr>
        <w:tabs>
          <w:tab w:val="right" w:pos="9026" w:leader="dot"/>
        </w:tabs>
        <w:spacing w:after="40" w:line="300"/>
        <w:ind w:left="0" w:firstLine="0"/>
        <w:jc w:val="left"/>
      </w:pPr>
      <w:r>
        <w:rPr>
          <w:b/>
          <w:bCs/>
        </w:rPr>
        <w:t xml:space="preserve">Capitolul 3. Rezultate și discuții</w:t>
      </w:r>
      <w:r>
        <w:t xml:space="preserve">	11</w:t>
      </w:r>
    </w:p>
    <w:p>
      <w:pPr>
        <w:tabs>
          <w:tab w:val="right" w:pos="9026" w:leader="dot"/>
        </w:tabs>
        <w:spacing w:after="40" w:line="300"/>
        <w:ind w:left="400" w:firstLine="0"/>
        <w:jc w:val="left"/>
      </w:pPr>
      <w:r>
        <w:rPr>
          <w:b w:val="false"/>
          <w:bCs w:val="false"/>
        </w:rPr>
        <w:t xml:space="preserve">3.1. Dreapta de etalonare</w:t>
      </w:r>
      <w:r>
        <w:t xml:space="preserve">	11</w:t>
      </w:r>
    </w:p>
    <w:p>
      <w:pPr>
        <w:tabs>
          <w:tab w:val="right" w:pos="9026" w:leader="dot"/>
        </w:tabs>
        <w:spacing w:after="40" w:line="300"/>
        <w:ind w:left="400" w:firstLine="0"/>
        <w:jc w:val="left"/>
      </w:pPr>
      <w:r>
        <w:rPr>
          <w:b w:val="false"/>
          <w:bCs w:val="false"/>
        </w:rPr>
        <w:t xml:space="preserve">3.2. Validarea metodei</w:t>
      </w:r>
      <w:r>
        <w:t xml:space="preserve">	12</w:t>
      </w:r>
    </w:p>
    <w:p>
      <w:pPr>
        <w:tabs>
          <w:tab w:val="right" w:pos="9026" w:leader="dot"/>
        </w:tabs>
        <w:spacing w:after="40" w:line="300"/>
        <w:ind w:left="400" w:firstLine="0"/>
        <w:jc w:val="left"/>
      </w:pPr>
      <w:r>
        <w:rPr>
          <w:b w:val="false"/>
          <w:bCs w:val="false"/>
        </w:rPr>
        <w:t xml:space="preserve">3.3. Concentrațiile metalelor în probe</w:t>
      </w:r>
      <w:r>
        <w:t xml:space="preserve">	12</w:t>
      </w:r>
    </w:p>
    <w:p>
      <w:pPr>
        <w:tabs>
          <w:tab w:val="right" w:pos="9026" w:leader="dot"/>
        </w:tabs>
        <w:spacing w:after="40" w:line="300"/>
        <w:ind w:left="400" w:firstLine="0"/>
        <w:jc w:val="left"/>
      </w:pPr>
      <w:r>
        <w:rPr>
          <w:b w:val="false"/>
          <w:bCs w:val="false"/>
        </w:rPr>
        <w:t xml:space="preserve">3.4. Interpretarea rezultatelor</w:t>
      </w:r>
      <w:r>
        <w:t xml:space="preserve">	14</w:t>
      </w:r>
    </w:p>
    <w:p>
      <w:pPr>
        <w:tabs>
          <w:tab w:val="right" w:pos="9026" w:leader="dot"/>
        </w:tabs>
        <w:spacing w:after="40" w:line="300"/>
        <w:ind w:left="0" w:firstLine="0"/>
        <w:jc w:val="left"/>
      </w:pPr>
      <w:r>
        <w:rPr>
          <w:b/>
          <w:bCs/>
        </w:rPr>
        <w:t xml:space="preserve">Concluzii</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Procedura de lucru pentru determinarea plumbului</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Sursele principale de metale grele în apa de la robinet</w:t>
      </w:r>
      <w:r>
        <w:t xml:space="preserve">	7</w:t>
      </w:r>
    </w:p>
    <w:p>
      <w:pPr>
        <w:tabs>
          <w:tab w:val="right" w:pos="9026" w:leader="dot"/>
        </w:tabs>
        <w:spacing w:after="40" w:line="300"/>
        <w:ind w:left="0" w:firstLine="0"/>
        <w:jc w:val="left"/>
      </w:pPr>
      <w:r>
        <w:rPr>
          <w:b w:val="false"/>
          <w:bCs w:val="false"/>
        </w:rPr>
        <w:t xml:space="preserve">Figura 2. Principiul spectrometriei de absorbție atomică</w:t>
      </w:r>
      <w:r>
        <w:t xml:space="preserve">	8</w:t>
      </w:r>
    </w:p>
    <w:p>
      <w:pPr>
        <w:tabs>
          <w:tab w:val="right" w:pos="9026" w:leader="dot"/>
        </w:tabs>
        <w:spacing w:after="40" w:line="300"/>
        <w:ind w:left="0" w:firstLine="0"/>
        <w:jc w:val="left"/>
      </w:pPr>
      <w:r>
        <w:rPr>
          <w:b w:val="false"/>
          <w:bCs w:val="false"/>
        </w:rPr>
        <w:t xml:space="preserve">Figura 3. Etapele procedurii experimentale</w:t>
      </w:r>
      <w:r>
        <w:t xml:space="preserve">	10</w:t>
      </w:r>
    </w:p>
    <w:p>
      <w:pPr>
        <w:tabs>
          <w:tab w:val="right" w:pos="9026" w:leader="dot"/>
        </w:tabs>
        <w:spacing w:after="40" w:line="300"/>
        <w:ind w:left="0" w:firstLine="0"/>
        <w:jc w:val="left"/>
      </w:pPr>
      <w:r>
        <w:rPr>
          <w:b w:val="false"/>
          <w:bCs w:val="false"/>
        </w:rPr>
        <w:t xml:space="preserve">Figura 4. Dreapta de etalonare pentru plumb: absorbanța măsurată și cea calculată</w:t>
      </w:r>
      <w:r>
        <w:t xml:space="preserve">	11</w:t>
      </w:r>
    </w:p>
    <w:p>
      <w:pPr>
        <w:tabs>
          <w:tab w:val="right" w:pos="9026" w:leader="dot"/>
        </w:tabs>
        <w:spacing w:after="40" w:line="300"/>
        <w:ind w:left="0" w:firstLine="0"/>
        <w:jc w:val="left"/>
      </w:pPr>
      <w:r>
        <w:rPr>
          <w:b w:val="false"/>
          <w:bCs w:val="false"/>
        </w:rPr>
        <w:t xml:space="preserve">Figura 5. Reziduurile dreptei de etalonare pentru plumb</w:t>
      </w:r>
      <w:r>
        <w:t xml:space="preserve">	12</w:t>
      </w:r>
    </w:p>
    <w:p>
      <w:pPr>
        <w:tabs>
          <w:tab w:val="right" w:pos="9026" w:leader="dot"/>
        </w:tabs>
        <w:spacing w:after="40" w:line="300"/>
        <w:ind w:left="0" w:firstLine="0"/>
        <w:jc w:val="left"/>
      </w:pPr>
      <w:r>
        <w:rPr>
          <w:b w:val="false"/>
          <w:bCs w:val="false"/>
        </w:rPr>
        <w:t xml:space="preserve">Figura 6. Concentrația de plumb în punctele de prelevare, comparată cu valoarea parametrică (µg/L)</w:t>
      </w:r>
      <w:r>
        <w:t xml:space="preserve">	13</w:t>
      </w:r>
    </w:p>
    <w:p>
      <w:pPr>
        <w:tabs>
          <w:tab w:val="right" w:pos="9026" w:leader="dot"/>
        </w:tabs>
        <w:spacing w:after="40" w:line="300"/>
        <w:ind w:left="0" w:firstLine="0"/>
        <w:jc w:val="left"/>
      </w:pPr>
      <w:r>
        <w:rPr>
          <w:b w:val="false"/>
          <w:bCs w:val="false"/>
        </w:rPr>
        <w:t xml:space="preserve">Figura 7. Concentrațiile exprimate ca procent din valoarea parametrică</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Valorile parametrice pentru metalele studiate în apa destinată consumului uman</w:t>
      </w:r>
      <w:r>
        <w:t xml:space="preserve">	7</w:t>
      </w:r>
    </w:p>
    <w:p>
      <w:pPr>
        <w:tabs>
          <w:tab w:val="right" w:pos="9026" w:leader="dot"/>
        </w:tabs>
        <w:spacing w:after="40" w:line="300"/>
        <w:ind w:left="0" w:firstLine="0"/>
        <w:jc w:val="left"/>
      </w:pPr>
      <w:r>
        <w:rPr>
          <w:b w:val="false"/>
          <w:bCs w:val="false"/>
        </w:rPr>
        <w:t xml:space="preserve">Tabelul 2. Metode instrumentale pentru determinarea metalelor grele în apă</w:t>
      </w:r>
      <w:r>
        <w:t xml:space="preserve">	8</w:t>
      </w:r>
    </w:p>
    <w:p>
      <w:pPr>
        <w:tabs>
          <w:tab w:val="right" w:pos="9026" w:leader="dot"/>
        </w:tabs>
        <w:spacing w:after="40" w:line="300"/>
        <w:ind w:left="0" w:firstLine="0"/>
        <w:jc w:val="left"/>
      </w:pPr>
      <w:r>
        <w:rPr>
          <w:b w:val="false"/>
          <w:bCs w:val="false"/>
        </w:rPr>
        <w:t xml:space="preserve">Tabelul 3. Reactivii și aparatura folosite</w:t>
      </w:r>
      <w:r>
        <w:t xml:space="preserve">	9</w:t>
      </w:r>
    </w:p>
    <w:p>
      <w:pPr>
        <w:tabs>
          <w:tab w:val="right" w:pos="9026" w:leader="dot"/>
        </w:tabs>
        <w:spacing w:after="40" w:line="300"/>
        <w:ind w:left="0" w:firstLine="0"/>
        <w:jc w:val="left"/>
      </w:pPr>
      <w:r>
        <w:rPr>
          <w:b w:val="false"/>
          <w:bCs w:val="false"/>
        </w:rPr>
        <w:t xml:space="preserve">Tabelul 4. Punctele de prelevare a probelor (localizare generică)</w:t>
      </w:r>
      <w:r>
        <w:t xml:space="preserve">	9</w:t>
      </w:r>
    </w:p>
    <w:p>
      <w:pPr>
        <w:tabs>
          <w:tab w:val="right" w:pos="9026" w:leader="dot"/>
        </w:tabs>
        <w:spacing w:after="40" w:line="300"/>
        <w:ind w:left="0" w:firstLine="0"/>
        <w:jc w:val="left"/>
      </w:pPr>
      <w:r>
        <w:rPr>
          <w:b w:val="false"/>
          <w:bCs w:val="false"/>
        </w:rPr>
        <w:t xml:space="preserve">Tabelul 5. Condițiile instrumentale pentru determinarea prin GFAAS</w:t>
      </w:r>
      <w:r>
        <w:t xml:space="preserve">	10</w:t>
      </w:r>
    </w:p>
    <w:p>
      <w:pPr>
        <w:tabs>
          <w:tab w:val="right" w:pos="9026" w:leader="dot"/>
        </w:tabs>
        <w:spacing w:after="40" w:line="300"/>
        <w:ind w:left="0" w:firstLine="0"/>
        <w:jc w:val="left"/>
      </w:pPr>
      <w:r>
        <w:rPr>
          <w:b w:val="false"/>
          <w:bCs w:val="false"/>
        </w:rPr>
        <w:t xml:space="preserve">Tabelul 6. Datele de etalonare pentru plumb</w:t>
      </w:r>
      <w:r>
        <w:t xml:space="preserve">	11</w:t>
      </w:r>
    </w:p>
    <w:p>
      <w:pPr>
        <w:tabs>
          <w:tab w:val="right" w:pos="9026" w:leader="dot"/>
        </w:tabs>
        <w:spacing w:after="40" w:line="300"/>
        <w:ind w:left="0" w:firstLine="0"/>
        <w:jc w:val="left"/>
      </w:pPr>
      <w:r>
        <w:rPr>
          <w:b w:val="false"/>
          <w:bCs w:val="false"/>
        </w:rPr>
        <w:t xml:space="preserve">Tabelul 7. Parametrii de validare a metodei</w:t>
      </w:r>
      <w:r>
        <w:t xml:space="preserve">	12</w:t>
      </w:r>
    </w:p>
    <w:p>
      <w:pPr>
        <w:tabs>
          <w:tab w:val="right" w:pos="9026" w:leader="dot"/>
        </w:tabs>
        <w:spacing w:after="40" w:line="300"/>
        <w:ind w:left="0" w:firstLine="0"/>
        <w:jc w:val="left"/>
      </w:pPr>
      <w:r>
        <w:rPr>
          <w:b w:val="false"/>
          <w:bCs w:val="false"/>
        </w:rPr>
        <w:t xml:space="preserve">Tabelul 8. Absorbanța și concentrația de plumb în probe (media a trei determinări)</w:t>
      </w:r>
      <w:r>
        <w:t xml:space="preserve">	13</w:t>
      </w:r>
    </w:p>
    <w:p>
      <w:pPr>
        <w:tabs>
          <w:tab w:val="right" w:pos="9026" w:leader="dot"/>
        </w:tabs>
        <w:spacing w:after="40" w:line="300"/>
        <w:ind w:left="0" w:firstLine="0"/>
        <w:jc w:val="left"/>
      </w:pPr>
      <w:r>
        <w:rPr>
          <w:b w:val="false"/>
          <w:bCs w:val="false"/>
        </w:rPr>
        <w:t xml:space="preserve">Tabelul 9. Concentrațiile celor trei metale comparate cu valorile parametrice (µg/L)</w:t>
      </w:r>
      <w:r>
        <w:t xml:space="preserve">	13</w:t>
      </w:r>
    </w:p>
    <w:p>
      <w:pPr>
        <w:pStyle w:val="Heading1"/>
        <w:pageBreakBefore/>
      </w:pPr>
      <w:commentRangeStart w:id="3"/>
      <w:r>
        <w:t xml:space="preserve">Rezumat</w:t>
      </w:r>
      <w:commentRangeEnd w:id="3"/>
      <w:r>
        <w:commentReference w:id="3"/>
      </w:r>
    </w:p>
    <w:p>
      <w:r>
        <w:t xml:space="preserve">Lucrarea determină concentrațiile de plumb, cadmiu și nichel în apa potabilă prin spectrometrie de absorbție atomică cu atomizare în cuptor de grafit (GFAAS). Probele au fost prelevate din șase puncte ale unei rețele de distribuție, de la ieșirea din stația de tratare până la robinetul unor clădiri cu instalații vechi. Metoda a fost validată: dreapta de etalonare pentru plumb este liniară între 0 și 25 µg/L (R² = 0,9996), limitele de cuantificare sunt mult sub valorile parametrice, repetabilitatea este sub 4%, iar recuperarea este între 96,0% și 101,2%. Cadmiul și nichelul se află sub valorile parametrice în toate punctele. Plumbul crește de la 2,02 µg/L la stația de tratare la 11,77 µg/L într-o clădire veche, singura probă neconformă. Rezultatele indică instalațiile interioare ca sursă principală a plumbului. Toate datele sunt simulate pentru exemplu.</w:t>
      </w:r>
    </w:p>
    <w:p>
      <w:pPr>
        <w:spacing w:after="400"/>
        <w:ind w:firstLine="0"/>
        <w:jc w:val="left"/>
      </w:pPr>
      <w:r>
        <w:rPr>
          <w:b/>
          <w:bCs/>
        </w:rPr>
        <w:t xml:space="preserve">Cuvinte-cheie:</w:t>
      </w:r>
      <w:r>
        <w:t xml:space="preserve"> metale grele, apă potabilă, spectrometrie de absorbție atomică, GFAAS, validarea metodei, plumb</w:t>
      </w:r>
    </w:p>
    <w:p>
      <w:pPr>
        <w:spacing w:after="200"/>
        <w:ind w:firstLine="0"/>
        <w:jc w:val="center"/>
      </w:pPr>
      <w:r>
        <w:rPr>
          <w:b/>
          <w:bCs/>
          <w:color w:val="16233F"/>
          <w:sz w:val="26"/>
          <w:szCs w:val="26"/>
        </w:rPr>
        <w:t xml:space="preserve">Abstract</w:t>
      </w:r>
    </w:p>
    <w:p>
      <w:r>
        <w:t xml:space="preserve">This thesis determines lead, cadmium and nickel concentrations in drinking water by graphite furnace atomic absorption spectrometry (GFAAS). Samples were collected from six points of a distribution network, from the outlet of the treatment plant to the taps of buildings with old plumbing. The method was validated: the lead calibration line is linear between 0 and 25 µg/L (R² = 0.9996), the limits of quantification are well below the parametric values, repeatability is below 4% and recovery ranges from 96.0% to 101.2%. Cadmium and nickel are below the parametric values at all points. Lead rises from 2.02 µg/L at the treatment plant to 11.77 µg/L in an old building, the only non-compliant sample. The results point to indoor plumbing as the main source of lead. All data are simulated for this example.</w:t>
      </w:r>
    </w:p>
    <w:p>
      <w:pPr>
        <w:ind w:firstLine="0"/>
        <w:jc w:val="left"/>
      </w:pPr>
      <w:r>
        <w:rPr>
          <w:b/>
          <w:bCs/>
        </w:rPr>
        <w:t xml:space="preserve">Keywords:</w:t>
      </w:r>
      <w:r>
        <w:t xml:space="preserve"> heavy metals, drinking water, atomic absorption spectrometry, GFAAS, method validation, lead</w:t>
      </w:r>
    </w:p>
    <w:p>
      <w:pPr>
        <w:pStyle w:val="Heading1"/>
        <w:pageBreakBefore/>
      </w:pPr>
      <w:commentRangeStart w:id="4"/>
      <w:r>
        <w:t xml:space="preserve">Introducere</w:t>
      </w:r>
      <w:commentRangeEnd w:id="4"/>
      <w:r>
        <w:commentReference w:id="4"/>
      </w:r>
    </w:p>
    <w:p>
      <w:r>
        <w:t xml:space="preserve">Plumbul, cadmiul și nichelul pot ajunge în apa de la robinet din surse naturale, din poluarea industrială sau din instalațiile de distribuție. Chiar și în concentrații de ordinul µg/L, expunerea de durată are efecte asupra sănătății, de aceea legislația europeană stabilește valori parametrice stricte pentru aceste metale [1].</w:t>
      </w:r>
    </w:p>
    <w:p>
      <w:r>
        <w:t xml:space="preserve">Lucrarea determină concentrațiile de Pb, Cd și Ni în probe de apă potabilă prelevate din șase puncte ale unei rețele de distribuție, prin spectrometrie de absorbție atomică cu atomizare în cuptor de grafit (GFAAS).</w:t>
      </w:r>
    </w:p>
    <w:p>
      <w:r>
        <w:rPr>
          <w:b/>
          <w:bCs/>
        </w:rPr>
        <w:t xml:space="preserve">Obiectivele lucrării</w:t>
      </w:r>
      <w:r>
        <w:t xml:space="preserve"> sunt:</w:t>
      </w:r>
    </w:p>
    <w:p>
      <w:pPr>
        <w:tabs>
          <w:tab w:val="left" w:pos="709"/>
        </w:tabs>
        <w:spacing w:after="60"/>
        <w:ind w:left="709" w:hanging="357" w:firstLine="0"/>
        <w:jc w:val="left"/>
      </w:pPr>
      <w:r>
        <w:t xml:space="preserve">1.	</w:t>
      </w:r>
      <w:r>
        <w:t xml:space="preserve">stabilirea și verificarea dreptei de etalonare pentru fiecare metal;</w:t>
      </w:r>
    </w:p>
    <w:p>
      <w:pPr>
        <w:tabs>
          <w:tab w:val="left" w:pos="709"/>
        </w:tabs>
        <w:spacing w:after="60"/>
        <w:ind w:left="709" w:hanging="357" w:firstLine="0"/>
        <w:jc w:val="left"/>
      </w:pPr>
      <w:r>
        <w:t xml:space="preserve">2.	</w:t>
      </w:r>
      <w:r>
        <w:t xml:space="preserve">validarea metodei: limita de detecție (LOD), limita de cuantificare (LOQ), repetabilitatea și recuperarea;</w:t>
      </w:r>
    </w:p>
    <w:p>
      <w:pPr>
        <w:tabs>
          <w:tab w:val="left" w:pos="709"/>
        </w:tabs>
        <w:spacing w:after="60"/>
        <w:ind w:left="709" w:hanging="357" w:firstLine="0"/>
        <w:jc w:val="left"/>
      </w:pPr>
      <w:commentRangeStart w:id="5"/>
      <w:r>
        <w:t xml:space="preserve">3.	</w:t>
      </w:r>
      <w:r>
        <w:t xml:space="preserve">determinarea concentrațiilor în probe și compararea lor cu valorile parametrice.</w:t>
      </w:r>
      <w:commentRangeEnd w:id="5"/>
      <w:r>
        <w:commentReference w:id="5"/>
      </w:r>
    </w:p>
    <w:p>
      <w:pPr>
        <w:pStyle w:val="Heading1"/>
        <w:pageBreakBefore/>
      </w:pPr>
      <w:commentRangeStart w:id="6"/>
      <w:r>
        <w:t xml:space="preserve">Capitolul 1. Metalele grele în apa potabilă și metodele de determinare</w:t>
      </w:r>
      <w:commentRangeEnd w:id="6"/>
      <w:r>
        <w:commentReference w:id="6"/>
      </w:r>
    </w:p>
    <w:p>
      <w:pPr>
        <w:pStyle w:val="Heading2"/>
        <w:keepNext/>
      </w:pPr>
      <w:r>
        <w:t xml:space="preserve">1.1. Surse și efecte asupra sănătății</w:t>
      </w:r>
    </w:p>
    <w:p>
      <w:r>
        <w:t xml:space="preserve">Metalele grele din apa de la robinet au două origini principale: sursa de apă (roci, soluri, ape uzate) și sistemul de distribuție, în special instalațiile interioare vechi și fitingurile din alamă [3], [5] (Figura 1).</w:t>
      </w:r>
    </w:p>
    <w:p>
      <w:pPr>
        <w:keepNext/>
        <w:spacing w:after="60" w:before="160" w:line="240"/>
        <w:ind w:firstLine="0"/>
        <w:jc w:val="center"/>
      </w:pPr>
      <w:r>
        <w:drawing>
          <wp:inline distT="0" distB="0" distL="0" distR="0">
            <wp:extent cx="5762625" cy="2924175"/>
            <wp:effectExtent t="0" r="0" b="0" l="0"/>
            <wp:docPr id="1" name="Figura 1" descr="Sursele principale de metale grele în apa de la robinet" title="Sursele principale de metale grele în apa de la ro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Sursele principale de metale grele în apa de la robinet</w:t>
      </w:r>
    </w:p>
    <w:p>
      <w:pPr>
        <w:spacing w:after="200" w:line="240"/>
        <w:ind w:firstLine="0"/>
        <w:jc w:val="center"/>
      </w:pPr>
      <w:r>
        <w:rPr>
          <w:i/>
          <w:iCs/>
          <w:color w:val="7A8191"/>
          <w:sz w:val="18"/>
          <w:szCs w:val="18"/>
        </w:rPr>
        <w:t xml:space="preserve">Sursa: Prelucrare proprie.</w:t>
      </w:r>
    </w:p>
    <w:p>
      <w:pPr>
        <w:pStyle w:val="Heading2"/>
        <w:keepNext/>
      </w:pPr>
      <w:r>
        <w:t xml:space="preserve">1.2. Valorile parametrice</w:t>
      </w:r>
    </w:p>
    <w:p>
      <w:r>
        <w:t xml:space="preserve">Directiva (UE) 2020/2184 stabilește valori parametrice pentru metalele din apa destinată consumului uman (Tabelul 1). Pentru plumb, valoarea de 10 µg/L se aplică până la 12 ianuarie 2036, după care scade la 5 µg/L [1].</w:t>
      </w:r>
    </w:p>
    <w:p>
      <w:pPr>
        <w:keepNext/>
        <w:spacing w:after="80" w:before="200" w:line="260"/>
        <w:ind w:firstLine="0"/>
        <w:jc w:val="left"/>
      </w:pPr>
      <w:r>
        <w:rPr>
          <w:b/>
          <w:bCs/>
          <w:sz w:val="22"/>
          <w:szCs w:val="22"/>
        </w:rPr>
        <w:t xml:space="preserve">Tabelul 1.</w:t>
      </w:r>
      <w:r>
        <w:rPr>
          <w:sz w:val="22"/>
          <w:szCs w:val="22"/>
        </w:rPr>
        <w:t xml:space="preserve"> Valorile parametrice pentru metalele studiate în apa destinată consumului uman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189"/>
        <w:gridCol w:w="1635"/>
        <w:gridCol w:w="3122"/>
        <w:gridCol w:w="3122"/>
      </w:tblGrid>
      <w:tr>
        <w:trPr>
          <w:tblHeader/>
        </w:trPr>
        <w:tc>
          <w:tcPr>
            <w:tcW w:type="dxa" w:w="11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Metal</w:t>
            </w:r>
          </w:p>
        </w:tc>
        <w:tc>
          <w:tcPr>
            <w:tcW w:type="dxa" w:w="16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 parametrică</w:t>
            </w:r>
          </w:p>
        </w:tc>
        <w:tc>
          <w:tcPr>
            <w:tcW w:type="dxa" w:w="312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Observații</w:t>
            </w:r>
          </w:p>
        </w:tc>
        <w:tc>
          <w:tcPr>
            <w:tcW w:type="dxa" w:w="312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Efecte principale asupra sănătății</w:t>
            </w:r>
          </w:p>
        </w:tc>
      </w:tr>
      <w:tr>
        <w:trPr>
          <w:cantSplit/>
        </w:trPr>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Plumb (Pb)</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 µg/L</w:t>
            </w:r>
          </w:p>
        </w:tc>
        <w:tc>
          <w:tcPr>
            <w:tcW w:type="dxa" w:w="31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Valoarea scade la 5 µg/L cel târziu de la 12 ianuarie 2036</w:t>
            </w:r>
          </w:p>
        </w:tc>
        <w:tc>
          <w:tcPr>
            <w:tcW w:type="dxa" w:w="31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Neurotoxic, în special pentru copii</w:t>
            </w:r>
          </w:p>
        </w:tc>
      </w:tr>
      <w:tr>
        <w:trPr>
          <w:cantSplit/>
        </w:trPr>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Cadmiu (Cd)</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5,0 µg/L</w:t>
            </w:r>
          </w:p>
        </w:tc>
        <w:tc>
          <w:tcPr>
            <w:tcW w:type="dxa" w:w="31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31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 acumulează în rinichi</w:t>
            </w:r>
          </w:p>
        </w:tc>
      </w:tr>
      <w:tr>
        <w:trPr>
          <w:cantSplit/>
        </w:trPr>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Nichel (Ni)</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 µg/L</w:t>
            </w:r>
          </w:p>
        </w:tc>
        <w:tc>
          <w:tcPr>
            <w:tcW w:type="dxa" w:w="31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31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Sensibilizant (alergii de contact)</w:t>
            </w:r>
          </w:p>
        </w:tc>
      </w:tr>
      <w:tr>
        <w:trPr>
          <w:cantSplit/>
        </w:trPr>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Cupru (Cu)</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 mg/L</w:t>
            </w:r>
          </w:p>
        </w:tc>
        <w:tc>
          <w:tcPr>
            <w:tcW w:type="dxa" w:w="31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Nu a fost determinat în lucrare</w:t>
            </w:r>
          </w:p>
        </w:tc>
        <w:tc>
          <w:tcPr>
            <w:tcW w:type="dxa" w:w="31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Tulburări digestive la concentrații mari</w:t>
            </w:r>
          </w:p>
        </w:tc>
      </w:tr>
    </w:tbl>
    <w:p>
      <w:pPr>
        <w:spacing w:after="200" w:before="40" w:line="240"/>
        <w:ind w:firstLine="0"/>
        <w:jc w:val="left"/>
      </w:pPr>
      <w:commentRangeStart w:id="7"/>
      <w:r>
        <w:rPr>
          <w:i/>
          <w:iCs/>
          <w:color w:val="7A8191"/>
          <w:sz w:val="18"/>
          <w:szCs w:val="18"/>
        </w:rPr>
        <w:t xml:space="preserve">Sursa: Directiva (UE) 2020/2184, anexa I, partea B [1]; efectele sunt sintetizate după [3].</w:t>
      </w:r>
      <w:commentRangeEnd w:id="7"/>
      <w:r>
        <w:commentReference w:id="7"/>
      </w:r>
    </w:p>
    <w:p>
      <w:pPr>
        <w:pStyle w:val="Heading2"/>
        <w:keepNext/>
      </w:pPr>
      <w:r>
        <w:t xml:space="preserve">1.3. Metode instrumentale de determinare</w:t>
      </w:r>
    </w:p>
    <w:p>
      <w:r>
        <w:t xml:space="preserve">Alegerea metodei depinde de concentrația așteptată și de aparatura disponibilă (Tabelul 2). Pentru Pb și Cd în apa potabilă, AAS cu flacără nu este suficient de sensibilă, de aceea se folosește atomizarea în cuptor de grafit [2], [4].</w:t>
      </w:r>
    </w:p>
    <w:p>
      <w:pPr>
        <w:keepNext/>
        <w:spacing w:after="80" w:before="200" w:line="260"/>
        <w:ind w:firstLine="0"/>
        <w:jc w:val="left"/>
      </w:pPr>
      <w:r>
        <w:rPr>
          <w:b/>
          <w:bCs/>
          <w:sz w:val="22"/>
          <w:szCs w:val="22"/>
        </w:rPr>
        <w:t xml:space="preserve">Tabelul 2.</w:t>
      </w:r>
      <w:r>
        <w:rPr>
          <w:sz w:val="22"/>
          <w:szCs w:val="22"/>
        </w:rPr>
        <w:t xml:space="preserve"> Metode instrumentale pentru determinarea metalelor grele în apă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35"/>
        <w:gridCol w:w="1784"/>
        <w:gridCol w:w="2825"/>
        <w:gridCol w:w="2825"/>
      </w:tblGrid>
      <w:tr>
        <w:trPr>
          <w:tblHeader/>
        </w:trPr>
        <w:tc>
          <w:tcPr>
            <w:tcW w:type="dxa" w:w="16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17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Ordinul de mărime al limitei de detecție</w:t>
            </w:r>
          </w:p>
        </w:tc>
        <w:tc>
          <w:tcPr>
            <w:tcW w:type="dxa" w:w="28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Avantaje</w:t>
            </w:r>
          </w:p>
        </w:tc>
        <w:tc>
          <w:tcPr>
            <w:tcW w:type="dxa" w:w="28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Limite</w:t>
            </w:r>
          </w:p>
        </w:tc>
      </w:tr>
      <w:tr>
        <w:trPr>
          <w:cantSplit/>
        </w:trPr>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AAS cu flacără (FAAS)</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mg/L</w:t>
            </w:r>
          </w:p>
        </w:tc>
        <w:tc>
          <w:tcPr>
            <w:tcW w:type="dxa" w:w="28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Rapidă, ieftină, ușor de folosit</w:t>
            </w:r>
          </w:p>
        </w:tc>
        <w:tc>
          <w:tcPr>
            <w:tcW w:type="dxa" w:w="28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Prea puțin sensibilă pentru Pb și Cd în apa potabilă</w:t>
            </w:r>
          </w:p>
        </w:tc>
      </w:tr>
      <w:tr>
        <w:trPr>
          <w:cantSplit/>
        </w:trPr>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AAS cu cuptor de grafit (GFAAS)</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µg/L</w:t>
            </w:r>
          </w:p>
        </w:tc>
        <w:tc>
          <w:tcPr>
            <w:tcW w:type="dxa" w:w="28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Sensibilă, volum mic de probă</w:t>
            </w:r>
          </w:p>
        </w:tc>
        <w:tc>
          <w:tcPr>
            <w:tcW w:type="dxa" w:w="28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 singur element pe rând, timp mai lung de analiză</w:t>
            </w:r>
          </w:p>
        </w:tc>
      </w:tr>
      <w:tr>
        <w:trPr>
          <w:cantSplit/>
        </w:trPr>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ICP-OES</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µg/L</w:t>
            </w:r>
          </w:p>
        </w:tc>
        <w:tc>
          <w:tcPr>
            <w:tcW w:type="dxa" w:w="28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Multielement</w:t>
            </w:r>
          </w:p>
        </w:tc>
        <w:tc>
          <w:tcPr>
            <w:tcW w:type="dxa" w:w="28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Cost ridicat, interferențe spectrale</w:t>
            </w:r>
          </w:p>
        </w:tc>
      </w:tr>
      <w:tr>
        <w:trPr>
          <w:cantSplit/>
        </w:trPr>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ICP-MS</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ng/L</w:t>
            </w:r>
          </w:p>
        </w:tc>
        <w:tc>
          <w:tcPr>
            <w:tcW w:type="dxa" w:w="28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Cea mai sensibilă, multielement</w:t>
            </w:r>
          </w:p>
        </w:tc>
        <w:tc>
          <w:tcPr>
            <w:tcW w:type="dxa" w:w="28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Aparatură scumpă, personal specializat</w:t>
            </w:r>
          </w:p>
        </w:tc>
      </w:tr>
    </w:tbl>
    <w:p>
      <w:pPr>
        <w:spacing w:after="200" w:before="40" w:line="240"/>
        <w:ind w:firstLine="0"/>
        <w:jc w:val="left"/>
      </w:pPr>
      <w:r>
        <w:rPr>
          <w:i/>
          <w:iCs/>
          <w:color w:val="7A8191"/>
          <w:sz w:val="18"/>
          <w:szCs w:val="18"/>
        </w:rPr>
        <w:t xml:space="preserve">Sursa: Sinteză proprie după [2], [4].</w:t>
      </w:r>
    </w:p>
    <w:p>
      <w:r>
        <w:t xml:space="preserve">În AAS, atomii liberi ai elementului absorb radiația caracteristică emisă de o lampă cu catod cavitar (Figura 2). Absorbanța este proporțională cu concentrația, în domeniul liniar al metodei [2]:</w:t>
      </w:r>
    </w:p>
    <w:p>
      <w:pPr>
        <w:spacing w:after="160" w:before="120"/>
        <w:ind w:firstLine="0"/>
        <w:jc w:val="center"/>
      </w:pPr>
      <w:r>
        <w:rPr>
          <w:i/>
          <w:iCs/>
        </w:rPr>
        <w:t xml:space="preserve">A = lg(I₀ / I) = k · c        (1.1)</w:t>
      </w:r>
    </w:p>
    <w:p>
      <w:pPr>
        <w:keepNext/>
        <w:spacing w:after="60" w:before="160" w:line="240"/>
        <w:ind w:firstLine="0"/>
        <w:jc w:val="center"/>
      </w:pPr>
      <w:r>
        <w:drawing>
          <wp:inline distT="0" distB="0" distL="0" distR="0">
            <wp:extent cx="5762625" cy="2009775"/>
            <wp:effectExtent t="0" r="0" b="0" l="0"/>
            <wp:docPr id="2" name="Figura 2" descr="Principiul spectrometriei de absorbție atomică" title="Principiul spectrometriei de absorbție atomi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Principiul spectrometriei de absorbție atomică</w:t>
      </w:r>
    </w:p>
    <w:p>
      <w:pPr>
        <w:spacing w:after="200" w:line="240"/>
        <w:ind w:firstLine="0"/>
        <w:jc w:val="center"/>
      </w:pPr>
      <w:r>
        <w:rPr>
          <w:i/>
          <w:iCs/>
          <w:color w:val="7A8191"/>
          <w:sz w:val="18"/>
          <w:szCs w:val="18"/>
        </w:rPr>
        <w:t xml:space="preserve">Sursa: Prelucrare proprie.</w:t>
      </w:r>
    </w:p>
    <w:p>
      <w:pPr>
        <w:pStyle w:val="Heading1"/>
        <w:pageBreakBefore/>
      </w:pPr>
      <w:commentRangeStart w:id="8"/>
      <w:r>
        <w:t xml:space="preserve">Capitolul 2. Partea experimentală</w:t>
      </w:r>
      <w:commentRangeEnd w:id="8"/>
      <w:r>
        <w:commentReference w:id="8"/>
      </w:r>
    </w:p>
    <w:p>
      <w:pPr>
        <w:pStyle w:val="Heading2"/>
        <w:keepNext/>
      </w:pPr>
      <w:r>
        <w:t xml:space="preserve">2.1. Reactivi și aparatură</w:t>
      </w:r>
    </w:p>
    <w:p>
      <w:r>
        <w:t xml:space="preserve">Reactivii și aparatura sunt prezentate în Tabelul 3. Toate vasele au fost spălate cu HNO₃ 10% și clătite cu apă ultrapură, pentru a evita contaminarea.</w:t>
      </w:r>
    </w:p>
    <w:p>
      <w:pPr>
        <w:keepNext/>
        <w:spacing w:after="80" w:before="200" w:line="260"/>
        <w:ind w:firstLine="0"/>
        <w:jc w:val="left"/>
      </w:pPr>
      <w:r>
        <w:rPr>
          <w:b/>
          <w:bCs/>
          <w:sz w:val="22"/>
          <w:szCs w:val="22"/>
        </w:rPr>
        <w:t xml:space="preserve">Tabelul 3.</w:t>
      </w:r>
      <w:r>
        <w:rPr>
          <w:sz w:val="22"/>
          <w:szCs w:val="22"/>
        </w:rPr>
        <w:t xml:space="preserve"> Reactivii și aparatura folosite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721"/>
        <w:gridCol w:w="3023"/>
        <w:gridCol w:w="3326"/>
      </w:tblGrid>
      <w:tr>
        <w:trPr>
          <w:tblHeader/>
        </w:trPr>
        <w:tc>
          <w:tcPr>
            <w:tcW w:type="dxa" w:w="27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Reactiv / aparat</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Specificație</w:t>
            </w:r>
          </w:p>
        </w:tc>
        <w:tc>
          <w:tcPr>
            <w:tcW w:type="dxa" w:w="33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Utilizare</w:t>
            </w:r>
          </w:p>
        </w:tc>
      </w:tr>
      <w:tr>
        <w:trPr>
          <w:cantSplit/>
        </w:trPr>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Acid azotic (HNO₃) 65%</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Puritate pentru analiza urmelor</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Acidularea probelor (pH &lt; 2) și diluții</w:t>
            </w:r>
          </w:p>
        </w:tc>
      </w:tr>
      <w:tr>
        <w:trPr>
          <w:cantSplit/>
        </w:trPr>
        <w:tc>
          <w:tcPr>
            <w:tcW w:type="dxa" w:w="27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Soluții etalon Pb, Cd, Ni</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1000 mg/L, certificate</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Prepararea soluțiilor de etalonare</w:t>
            </w:r>
          </w:p>
        </w:tc>
      </w:tr>
      <w:tr>
        <w:trPr>
          <w:cantSplit/>
        </w:trPr>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Modificator de matrice</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Pd + Mg(NO₃)₂</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Stabilizarea analitului în etapa de piroliză</w:t>
            </w:r>
          </w:p>
        </w:tc>
      </w:tr>
      <w:tr>
        <w:trPr>
          <w:cantSplit/>
        </w:trPr>
        <w:tc>
          <w:tcPr>
            <w:tcW w:type="dxa" w:w="27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Apă ultrapură</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Rezistivitate 18,2 MΩ·cm</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Diluții, probe blanc</w:t>
            </w:r>
          </w:p>
        </w:tc>
      </w:tr>
      <w:tr>
        <w:trPr>
          <w:cantSplit/>
        </w:trPr>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Spectrometru AAS</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Cuptor de grafit, corecție Zeeman (model generic)</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Măsurarea absorbanței</w:t>
            </w:r>
          </w:p>
        </w:tc>
      </w:tr>
    </w:tbl>
    <w:p>
      <w:pPr>
        <w:spacing w:after="200" w:before="40" w:line="240"/>
        <w:ind w:firstLine="0"/>
        <w:jc w:val="left"/>
      </w:pPr>
      <w:commentRangeStart w:id="9"/>
      <w:r>
        <w:rPr>
          <w:i/>
          <w:iCs/>
          <w:color w:val="7A8191"/>
          <w:sz w:val="18"/>
          <w:szCs w:val="18"/>
        </w:rPr>
        <w:t xml:space="preserve">Sursa: Laboratorul de chimie analitică al facultății (descriere generică).</w:t>
      </w:r>
      <w:commentRangeEnd w:id="9"/>
      <w:r>
        <w:commentReference w:id="9"/>
      </w:r>
    </w:p>
    <w:p>
      <w:pPr>
        <w:pStyle w:val="Heading2"/>
        <w:keepNext/>
      </w:pPr>
      <w:r>
        <w:t xml:space="preserve">2.2. Prelevarea probelor</w:t>
      </w:r>
    </w:p>
    <w:p>
      <w:r>
        <w:t xml:space="preserve">Au fost prelevate probe din șase puncte, de la ieșirea din stația de tratare până la robinetul consumatorului (Tabelul 4). În fiecare punct apa a curs 2 minute înainte de prelevare. Etapele de lucru sunt rezumate în Figura 3.</w:t>
      </w:r>
    </w:p>
    <w:p>
      <w:pPr>
        <w:keepNext/>
        <w:spacing w:after="80" w:before="200" w:line="260"/>
        <w:ind w:firstLine="0"/>
        <w:jc w:val="left"/>
      </w:pPr>
      <w:r>
        <w:rPr>
          <w:b/>
          <w:bCs/>
          <w:sz w:val="22"/>
          <w:szCs w:val="22"/>
        </w:rPr>
        <w:t xml:space="preserve">Tabelul 4.</w:t>
      </w:r>
      <w:r>
        <w:rPr>
          <w:sz w:val="22"/>
          <w:szCs w:val="22"/>
        </w:rPr>
        <w:t xml:space="preserve"> Punctele de prelevare a probelor (localizare generică)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907"/>
        <w:gridCol w:w="3628"/>
        <w:gridCol w:w="3023"/>
        <w:gridCol w:w="1511"/>
      </w:tblGrid>
      <w:tr>
        <w:trPr>
          <w:tblHeader/>
        </w:trPr>
        <w:tc>
          <w:tcPr>
            <w:tcW w:type="dxa" w:w="9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Cod</w:t>
            </w:r>
          </w:p>
        </w:tc>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Punctul de prelevare</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instalației</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Data</w:t>
            </w:r>
          </w:p>
        </w:tc>
      </w:tr>
      <w:tr>
        <w:trPr>
          <w:cantSplit/>
        </w:trPr>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P1</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Ieșirea din stația de tratare</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Conductă de oțel, nouă</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03.03.2026</w:t>
            </w:r>
          </w:p>
        </w:tc>
      </w:tr>
      <w:tr>
        <w:trPr>
          <w:cantSplit/>
        </w:trPr>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P2</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Rețea, cartier rezidențial</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Conducte PEHD</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03.03.2026</w:t>
            </w:r>
          </w:p>
        </w:tc>
      </w:tr>
      <w:tr>
        <w:trPr>
          <w:cantSplit/>
        </w:trPr>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P3</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Rețea, clădire publică</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Conducte PEHD</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04.03.2026</w:t>
            </w:r>
          </w:p>
        </w:tc>
      </w:tr>
      <w:tr>
        <w:trPr>
          <w:cantSplit/>
        </w:trPr>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Bloc de locuințe construit înainte de 1980</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Instalație interioară din oțel zincat</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04.03.2026</w:t>
            </w:r>
          </w:p>
        </w:tc>
      </w:tr>
      <w:tr>
        <w:trPr>
          <w:cantSplit/>
        </w:trPr>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P5</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Clădire veche, centrul orașului</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Instalație interioară cu porțiuni din plumb (presupuse)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05.03.2026</w:t>
            </w:r>
          </w:p>
        </w:tc>
      </w:tr>
      <w:tr>
        <w:trPr>
          <w:cantSplit/>
        </w:trPr>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P6</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Capăt de rețea, zonă periurbană</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Conducte PEHD</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05.03.2026</w:t>
            </w:r>
          </w:p>
        </w:tc>
      </w:tr>
    </w:tbl>
    <w:p>
      <w:pPr>
        <w:spacing w:after="200" w:before="40" w:line="240"/>
        <w:ind w:firstLine="0"/>
        <w:jc w:val="left"/>
      </w:pPr>
      <w:r>
        <w:rPr>
          <w:i/>
          <w:iCs/>
          <w:color w:val="7A8191"/>
          <w:sz w:val="18"/>
          <w:szCs w:val="18"/>
        </w:rPr>
        <w:t xml:space="preserve">Sursa: Puncte de prelevare fictive, construite pentru exemplu.</w:t>
      </w:r>
    </w:p>
    <w:p>
      <w:pPr>
        <w:keepNext/>
        <w:spacing w:after="60" w:before="160" w:line="240"/>
        <w:ind w:firstLine="0"/>
        <w:jc w:val="center"/>
      </w:pPr>
      <w:r>
        <w:drawing>
          <wp:inline distT="0" distB="0" distL="0" distR="0">
            <wp:extent cx="5762625" cy="2743200"/>
            <wp:effectExtent t="0" r="0" b="0" l="0"/>
            <wp:docPr id="3" name="Figura 3" descr="Etapele procedurii experimentale" title="Etapele procedurii experimen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procedurii experimentale</w:t>
      </w:r>
    </w:p>
    <w:p>
      <w:pPr>
        <w:spacing w:after="200" w:line="240"/>
        <w:ind w:firstLine="0"/>
        <w:jc w:val="center"/>
      </w:pPr>
      <w:r>
        <w:rPr>
          <w:i/>
          <w:iCs/>
          <w:color w:val="7A8191"/>
          <w:sz w:val="18"/>
          <w:szCs w:val="18"/>
        </w:rPr>
        <w:t xml:space="preserve">Sursa: Prelucrare proprie.</w:t>
      </w:r>
    </w:p>
    <w:p>
      <w:pPr>
        <w:pStyle w:val="Heading2"/>
        <w:keepNext/>
      </w:pPr>
      <w:r>
        <w:t xml:space="preserve">2.3. Condiții instrumentale</w:t>
      </w:r>
    </w:p>
    <w:p>
      <w:r>
        <w:t xml:space="preserve">Determinările s-au făcut cu un spectrometru AAS cu cuptor de grafit și corecție de fond Zeeman, în condițiile din Tabelul 5. Fiecare probă a fost măsurată în trei replicate.</w:t>
      </w:r>
    </w:p>
    <w:p>
      <w:pPr>
        <w:keepNext/>
        <w:spacing w:after="80" w:before="200" w:line="260"/>
        <w:ind w:firstLine="0"/>
        <w:jc w:val="left"/>
      </w:pPr>
      <w:r>
        <w:rPr>
          <w:b/>
          <w:bCs/>
          <w:sz w:val="22"/>
          <w:szCs w:val="22"/>
        </w:rPr>
        <w:t xml:space="preserve">Tabelul 5.</w:t>
      </w:r>
      <w:r>
        <w:rPr>
          <w:sz w:val="22"/>
          <w:szCs w:val="22"/>
        </w:rPr>
        <w:t xml:space="preserve"> Condițiile instrumentale pentru determinarea prin GFAAS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837"/>
        <w:gridCol w:w="1744"/>
        <w:gridCol w:w="1744"/>
        <w:gridCol w:w="1744"/>
      </w:tblGrid>
      <w:tr>
        <w:trPr>
          <w:tblHeader/>
        </w:trPr>
        <w:tc>
          <w:tcPr>
            <w:tcW w:type="dxa" w:w="38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Parametrul</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Pb</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Cd</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Ni</w:t>
            </w:r>
          </w:p>
        </w:tc>
      </w:tr>
      <w:tr>
        <w:trPr>
          <w:cantSplit/>
        </w:trPr>
        <w:tc>
          <w:tcPr>
            <w:tcW w:type="dxa" w:w="38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Lungimea de undă (nm)</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283,3</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228,8</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232,0</w:t>
            </w:r>
          </w:p>
        </w:tc>
      </w:tr>
      <w:tr>
        <w:trPr>
          <w:cantSplit/>
        </w:trPr>
        <w:tc>
          <w:tcPr>
            <w:tcW w:type="dxa" w:w="38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Lărgimea fantei (nm)</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0,7</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0,7</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w:t>
            </w:r>
          </w:p>
        </w:tc>
      </w:tr>
      <w:tr>
        <w:trPr>
          <w:cantSplit/>
        </w:trPr>
        <w:tc>
          <w:tcPr>
            <w:tcW w:type="dxa" w:w="38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Temperatura de piroliză (°C)</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850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700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1100</w:t>
            </w:r>
          </w:p>
        </w:tc>
      </w:tr>
      <w:tr>
        <w:trPr>
          <w:cantSplit/>
        </w:trPr>
        <w:tc>
          <w:tcPr>
            <w:tcW w:type="dxa" w:w="38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Temperatura de atomizare (°C)</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1600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2300</w:t>
            </w:r>
          </w:p>
        </w:tc>
      </w:tr>
      <w:tr>
        <w:trPr>
          <w:cantSplit/>
        </w:trPr>
        <w:tc>
          <w:tcPr>
            <w:tcW w:type="dxa" w:w="38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Volumul de probă injectat (µL)</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bl>
    <w:p>
      <w:pPr>
        <w:keepNext/>
        <w:spacing w:after="0" w:before="60" w:line="240"/>
        <w:ind w:firstLine="0"/>
        <w:jc w:val="left"/>
      </w:pPr>
      <w:r>
        <w:rPr>
          <w:i/>
          <w:iCs/>
          <w:sz w:val="18"/>
          <w:szCs w:val="18"/>
        </w:rPr>
        <w:t xml:space="preserve">Notă.</w:t>
      </w:r>
      <w:r>
        <w:rPr>
          <w:sz w:val="18"/>
          <w:szCs w:val="18"/>
        </w:rPr>
        <w:t xml:space="preserve"> Temperaturile sunt orientative; în lucrarea ta copiază programul de temperatură optimizat pe aparatul tău.</w:t>
      </w:r>
    </w:p>
    <w:p>
      <w:pPr>
        <w:spacing w:after="200" w:before="40" w:line="240"/>
        <w:ind w:firstLine="0"/>
        <w:jc w:val="left"/>
      </w:pPr>
      <w:r>
        <w:rPr>
          <w:i/>
          <w:iCs/>
          <w:color w:val="7A8191"/>
          <w:sz w:val="18"/>
          <w:szCs w:val="18"/>
        </w:rPr>
        <w:t xml:space="preserve">Sursa: Programul de lucru al aparatului (valori de exemplu).</w:t>
      </w:r>
    </w:p>
    <w:p>
      <w:pPr>
        <w:pStyle w:val="Heading1"/>
        <w:pageBreakBefore/>
      </w:pPr>
      <w:commentRangeStart w:id="10"/>
      <w:r>
        <w:t xml:space="preserve">Capitolul 3. Rezultate și discuții</w:t>
      </w:r>
      <w:commentRangeEnd w:id="10"/>
      <w:r>
        <w:commentReference w:id="10"/>
      </w:r>
    </w:p>
    <w:p>
      <w:pPr>
        <w:pStyle w:val="Heading2"/>
        <w:keepNext/>
      </w:pPr>
      <w:r>
        <w:t xml:space="preserve">3.1. Dreapta de etalonare</w:t>
      </w:r>
    </w:p>
    <w:p>
      <w:r>
        <w:t xml:space="preserve">Pentru plumb s-au folosit șase soluții etalon, între 0 și 25 µg/L (Tabelul 6). Prin regresie liniară s-a obținut ecuația:</w:t>
      </w:r>
    </w:p>
    <w:p>
      <w:pPr>
        <w:spacing w:after="160" w:before="120"/>
        <w:ind w:firstLine="0"/>
        <w:jc w:val="center"/>
      </w:pPr>
      <w:r>
        <w:rPr>
          <w:i/>
          <w:iCs/>
        </w:rPr>
        <w:t xml:space="preserve">A = 0,00837 · c + 0,0029,   R² = 0,9996        (3.1)</w:t>
      </w:r>
    </w:p>
    <w:p>
      <w:r>
        <w:t xml:space="preserve">unde A este absorbanța, iar c concentrația de plumb în µg/L. Punctele măsurate se suprapun aproape perfect peste valorile calculate (Figura 4), iar reziduurile nu depășesc 0,0023 unități de absorbanță și nu au o tendință sistematică.</w:t>
      </w:r>
    </w:p>
    <w:p>
      <w:pPr>
        <w:keepNext/>
        <w:spacing w:after="80" w:before="200" w:line="260"/>
        <w:ind w:firstLine="0"/>
        <w:jc w:val="left"/>
      </w:pPr>
      <w:r>
        <w:rPr>
          <w:b/>
          <w:bCs/>
          <w:sz w:val="22"/>
          <w:szCs w:val="22"/>
        </w:rPr>
        <w:t xml:space="preserve">Tabelul 6.</w:t>
      </w:r>
      <w:r>
        <w:rPr>
          <w:sz w:val="22"/>
          <w:szCs w:val="22"/>
        </w:rPr>
        <w:t xml:space="preserve"> Datele de etalonare pentru plumb</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 Pb (µg/L)</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Absorbanța măsurată</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Absorbanța calculată</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Reziduul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0,0031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0,0029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0,0002</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0,0437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0,0447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−0,0010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0,0876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0,0865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0,0011</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0,1270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0,1284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−0,0014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0,1725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0,1702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0,0023</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0,2108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0,2120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−0,0012</w:t>
            </w:r>
          </w:p>
        </w:tc>
      </w:tr>
    </w:tbl>
    <w:p>
      <w:pPr>
        <w:keepNext/>
        <w:spacing w:after="0" w:before="60" w:line="240"/>
        <w:ind w:firstLine="0"/>
        <w:jc w:val="left"/>
      </w:pPr>
      <w:r>
        <w:rPr>
          <w:i/>
          <w:iCs/>
          <w:sz w:val="18"/>
          <w:szCs w:val="18"/>
        </w:rPr>
        <w:t xml:space="preserve">Notă.</w:t>
      </w:r>
      <w:r>
        <w:rPr>
          <w:sz w:val="18"/>
          <w:szCs w:val="18"/>
        </w:rPr>
        <w:t xml:space="preserve"> Absorbanța calculată provine din ecuația dreptei de etalonare (ec. 3.1); reziduul este diferența dintre valoarea măsurată și cea calculată.</w:t>
      </w:r>
    </w:p>
    <w:p>
      <w:pPr>
        <w:spacing w:after="200" w:before="40" w:line="240"/>
        <w:ind w:firstLine="0"/>
        <w:jc w:val="left"/>
      </w:pPr>
      <w:r>
        <w:rPr>
          <w:i/>
          <w:iCs/>
          <w:color w:val="7A8191"/>
          <w:sz w:val="18"/>
          <w:szCs w:val="18"/>
        </w:rPr>
        <w:t xml:space="preserve">Sursa: Date experimentale simulate pentru exemplu.</w:t>
      </w:r>
    </w:p>
    <w:p>
      <w:pPr>
        <w:keepNext/>
        <w:spacing w:after="60" w:before="160" w:line="240"/>
        <w:ind w:firstLine="0"/>
        <w:jc w:val="center"/>
      </w:pPr>
      <w:r>
        <w:drawing>
          <wp:inline distT="0" distB="0" distL="0" distR="0">
            <wp:extent cx="5486400" cy="2743200"/>
            <wp:effectExtent t="0" r="0" b="0" l="0"/>
            <wp:docPr id="4" name="Figura 4" descr="Dreapta de etalonare pentru plumb: absorbanța măsurată și cea calculată" title="Dreapta de etalonare pentru plumb: absorbanța măsurată și cea calcula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Dreapta de etalonare pentru plumb: absorbanța măsurată și cea calculată</w:t>
      </w:r>
    </w:p>
    <w:p>
      <w:pPr>
        <w:spacing w:after="200" w:line="240"/>
        <w:ind w:firstLine="0"/>
        <w:jc w:val="center"/>
      </w:pPr>
      <w:r>
        <w:rPr>
          <w:i/>
          <w:iCs/>
          <w:color w:val="7A8191"/>
          <w:sz w:val="18"/>
          <w:szCs w:val="18"/>
        </w:rPr>
        <w:t xml:space="preserve">Sursa: Prelucrare proprie.</w:t>
      </w:r>
    </w:p>
    <w:p>
      <w:r>
        <w:t xml:space="preserve">Reziduurile alternează ca semn și nu cresc odată cu concentrația (Figura 5), deci modelul liniar este adecvat în tot domeniul de lucru.</w:t>
      </w:r>
    </w:p>
    <w:p>
      <w:pPr>
        <w:keepNext/>
        <w:spacing w:after="60" w:before="160" w:line="240"/>
        <w:ind w:firstLine="0"/>
        <w:jc w:val="center"/>
      </w:pPr>
      <w:r>
        <w:drawing>
          <wp:inline distT="0" distB="0" distL="0" distR="0">
            <wp:extent cx="5305425" cy="2381250"/>
            <wp:effectExtent t="0" r="0" b="0" l="0"/>
            <wp:docPr id="5" name="Figura 5" descr="Reziduurile dreptei de etalonare pentru plumb" title="Reziduurile dreptei de etalonare pentru pl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3812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Reziduurile dreptei de etalonare pentru plumb</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3.2. Validarea metodei</w:t>
      </w:r>
    </w:p>
    <w:p>
      <w:r>
        <w:t xml:space="preserve">Limita de detecție și limita de cuantificare au fost calculate din abaterea standard a zece probe blanc (s = 0,00058) și din panta dreptei de etalonare (b):</w:t>
      </w:r>
    </w:p>
    <w:p>
      <w:pPr>
        <w:spacing w:after="160" w:before="120"/>
        <w:ind w:firstLine="0"/>
        <w:jc w:val="center"/>
      </w:pPr>
      <w:r>
        <w:rPr>
          <w:i/>
          <w:iCs/>
        </w:rPr>
        <w:t xml:space="preserve">LOD = 3,3 · s / b = 0,23 µg/L        LOQ = 10 · s / b = 0,69 µg/L        (3.2)</w:t>
      </w:r>
    </w:p>
    <w:p>
      <w:r>
        <w:t xml:space="preserve">Parametrii de validare pentru cele trei metale sunt prezentați în Tabelul 7. Toate îndeplinesc criteriile de acceptare: LOQ este mult sub valorile parametrice, repetabilitatea este sub 4%, iar recuperarea pe probe fortificate este între 96,0% și 101,2%.</w:t>
      </w:r>
    </w:p>
    <w:p>
      <w:pPr>
        <w:keepNext/>
        <w:spacing w:after="80" w:before="200" w:line="260"/>
        <w:ind w:firstLine="0"/>
        <w:jc w:val="left"/>
      </w:pPr>
      <w:r>
        <w:rPr>
          <w:b/>
          <w:bCs/>
          <w:sz w:val="22"/>
          <w:szCs w:val="22"/>
        </w:rPr>
        <w:t xml:space="preserve">Tabelul 7.</w:t>
      </w:r>
      <w:r>
        <w:rPr>
          <w:sz w:val="22"/>
          <w:szCs w:val="22"/>
        </w:rPr>
        <w:t xml:space="preserve"> Parametrii de validare a metodei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21"/>
        <w:gridCol w:w="1229"/>
        <w:gridCol w:w="1229"/>
        <w:gridCol w:w="1229"/>
        <w:gridCol w:w="2459"/>
      </w:tblGrid>
      <w:tr>
        <w:trPr>
          <w:tblHeader/>
        </w:trPr>
        <w:tc>
          <w:tcPr>
            <w:tcW w:type="dxa" w:w="29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Parametrul</w:t>
            </w:r>
          </w:p>
        </w:tc>
        <w:tc>
          <w:tcPr>
            <w:tcW w:type="dxa" w:w="122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Pb</w:t>
            </w:r>
          </w:p>
        </w:tc>
        <w:tc>
          <w:tcPr>
            <w:tcW w:type="dxa" w:w="122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Cd</w:t>
            </w:r>
          </w:p>
        </w:tc>
        <w:tc>
          <w:tcPr>
            <w:tcW w:type="dxa" w:w="122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Ni</w:t>
            </w:r>
          </w:p>
        </w:tc>
        <w:tc>
          <w:tcPr>
            <w:tcW w:type="dxa" w:w="24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 de acceptare</w:t>
            </w:r>
          </w:p>
        </w:tc>
      </w:tr>
      <w:tr>
        <w:trPr>
          <w:cantSplit/>
        </w:trPr>
        <w:tc>
          <w:tcPr>
            <w:tcW w:type="dxa" w:w="29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Domeniul liniar (µg/L)</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0–25</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0–50</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r>
        <w:trPr>
          <w:cantSplit/>
        </w:trPr>
        <w:tc>
          <w:tcPr>
            <w:tcW w:type="dxa" w:w="29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Coeficientul de determinare R²</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0,9996</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0,9991</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0,9993</w:t>
            </w:r>
          </w:p>
        </w:tc>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0,995</w:t>
            </w:r>
          </w:p>
        </w:tc>
      </w:tr>
      <w:tr>
        <w:trPr>
          <w:cantSplit/>
        </w:trPr>
        <w:tc>
          <w:tcPr>
            <w:tcW w:type="dxa" w:w="29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LOD (µg/L)</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0,23</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0,03</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0,45</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Mult sub valoarea-limită</w:t>
            </w:r>
          </w:p>
        </w:tc>
      </w:tr>
      <w:tr>
        <w:trPr>
          <w:cantSplit/>
        </w:trPr>
        <w:tc>
          <w:tcPr>
            <w:tcW w:type="dxa" w:w="29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LOQ (µg/L)</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0,69</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0,09</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1,36</w:t>
            </w:r>
          </w:p>
        </w:tc>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30% din valoarea-limită</w:t>
            </w:r>
          </w:p>
        </w:tc>
      </w:tr>
      <w:tr>
        <w:trPr>
          <w:cantSplit/>
        </w:trPr>
        <w:tc>
          <w:tcPr>
            <w:tcW w:type="dxa" w:w="29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Repetabilitatea, RSD (%) (n = 6)</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2,8</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3,9</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10%</w:t>
            </w:r>
          </w:p>
        </w:tc>
      </w:tr>
      <w:tr>
        <w:trPr>
          <w:cantSplit/>
        </w:trPr>
        <w:tc>
          <w:tcPr>
            <w:tcW w:type="dxa" w:w="29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Recuperarea (%)</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97,4</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96,0</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101,2</w:t>
            </w:r>
          </w:p>
        </w:tc>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90–110%</w:t>
            </w:r>
          </w:p>
        </w:tc>
      </w:tr>
    </w:tbl>
    <w:p>
      <w:pPr>
        <w:spacing w:after="200" w:before="40" w:line="240"/>
        <w:ind w:firstLine="0"/>
        <w:jc w:val="left"/>
      </w:pPr>
      <w:r>
        <w:rPr>
          <w:i/>
          <w:iCs/>
          <w:color w:val="7A8191"/>
          <w:sz w:val="18"/>
          <w:szCs w:val="18"/>
        </w:rPr>
        <w:t xml:space="preserve">Sursa: Date experimentale simulate; criteriile sunt alese de autor pentru exemplu.</w:t>
      </w:r>
    </w:p>
    <w:p>
      <w:pPr>
        <w:pStyle w:val="Heading2"/>
        <w:keepNext/>
      </w:pPr>
      <w:r>
        <w:t xml:space="preserve">3.3. Concentrațiile metalelor în probe</w:t>
      </w:r>
    </w:p>
    <w:p>
      <w:r>
        <w:t xml:space="preserve">Concentrația de plumb a fost calculată din absorbanța medie a fiecărei probe, cu ecuația (3.1) (Tabelul 8). De exemplu, pentru proba P5: c = (0,1014 − 0,0029) / 0,00837 = 11,77 µg/L.</w:t>
      </w:r>
    </w:p>
    <w:p>
      <w:pPr>
        <w:keepNext/>
        <w:spacing w:after="80" w:before="200" w:line="260"/>
        <w:ind w:firstLine="0"/>
        <w:jc w:val="left"/>
      </w:pPr>
      <w:r>
        <w:rPr>
          <w:b/>
          <w:bCs/>
          <w:sz w:val="22"/>
          <w:szCs w:val="22"/>
        </w:rPr>
        <w:t xml:space="preserve">Tabelul 8.</w:t>
      </w:r>
      <w:r>
        <w:rPr>
          <w:sz w:val="22"/>
          <w:szCs w:val="22"/>
        </w:rPr>
        <w:t xml:space="preserve"> Absorbanța și concentrația de plumb în probe (media a trei determinări)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Punctul</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Absorbanța medie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 Pb (µg/L)</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AS (µg/L)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0,0198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0,09</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0,0371</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0,15</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0,0262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0,11</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0,0545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6,16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0,19</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0,1014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11,77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0,33</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0,0307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0,12</w:t>
            </w:r>
          </w:p>
        </w:tc>
      </w:tr>
    </w:tbl>
    <w:p>
      <w:pPr>
        <w:keepNext/>
        <w:spacing w:after="0" w:before="60" w:line="240"/>
        <w:ind w:firstLine="0"/>
        <w:jc w:val="left"/>
      </w:pPr>
      <w:r>
        <w:rPr>
          <w:i/>
          <w:iCs/>
          <w:sz w:val="18"/>
          <w:szCs w:val="18"/>
        </w:rPr>
        <w:t xml:space="preserve">Notă.</w:t>
      </w:r>
      <w:r>
        <w:rPr>
          <w:sz w:val="18"/>
          <w:szCs w:val="18"/>
        </w:rPr>
        <w:t xml:space="preserve"> c = (A − 0,0029) / 0,00837; AS = abaterea standard a celor trei determinări.</w:t>
      </w:r>
    </w:p>
    <w:p>
      <w:pPr>
        <w:spacing w:after="200" w:before="40" w:line="240"/>
        <w:ind w:firstLine="0"/>
        <w:jc w:val="left"/>
      </w:pPr>
      <w:r>
        <w:rPr>
          <w:i/>
          <w:iCs/>
          <w:color w:val="7A8191"/>
          <w:sz w:val="18"/>
          <w:szCs w:val="18"/>
        </w:rPr>
        <w:t xml:space="preserve">Sursa: Date experimentale simulate pentru exemplu.</w:t>
      </w:r>
    </w:p>
    <w:p>
      <w:r>
        <w:t xml:space="preserve">Rezultatele pentru toate cele trei metale sunt comparate cu valorile parametrice în Tabelul 9. Plumbul crește de la 2,02 µg/L la ieșirea din stația de tratare (P1) la 11,77 µg/L în clădirea veche (P5), singura probă peste valoarea de 10 µg/L (Figura 6).</w:t>
      </w:r>
    </w:p>
    <w:p>
      <w:pPr>
        <w:keepNext/>
        <w:spacing w:after="80" w:before="200" w:line="260"/>
        <w:ind w:firstLine="0"/>
        <w:jc w:val="left"/>
      </w:pPr>
      <w:r>
        <w:rPr>
          <w:b/>
          <w:bCs/>
          <w:sz w:val="22"/>
          <w:szCs w:val="22"/>
        </w:rPr>
        <w:t xml:space="preserve">Tabelul 9.</w:t>
      </w:r>
      <w:r>
        <w:rPr>
          <w:sz w:val="22"/>
          <w:szCs w:val="22"/>
        </w:rPr>
        <w:t xml:space="preserve"> Concentrațiile celor trei metale comparate cu valorile parametrice (µg/L)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511"/>
        <w:gridCol w:w="1511"/>
        <w:gridCol w:w="1511"/>
        <w:gridCol w:w="1511"/>
        <w:gridCol w:w="3023"/>
      </w:tblGrid>
      <w:tr>
        <w:trPr>
          <w:tblHeader/>
        </w:trPr>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Punctul</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Pb</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Cd</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Ni</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Conform?</w:t>
            </w:r>
          </w:p>
        </w:tc>
      </w:tr>
      <w:tr>
        <w:trPr>
          <w:cantSplit/>
        </w:trPr>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P1</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0,11</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P2</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4,09</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0,25</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5,1</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P3</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2,78</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0,18</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3,4</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6,16</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0,41</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7,8</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P5</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11,77</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0,62</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6,3</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 (Pb peste 10 µg/L)</w:t>
            </w:r>
          </w:p>
        </w:tc>
      </w:tr>
      <w:tr>
        <w:trPr>
          <w:cantSplit/>
        </w:trPr>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P6</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3,32</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0,21</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4,2</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Valoare parametrică</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spacing w:after="200" w:before="40" w:line="240"/>
        <w:ind w:firstLine="0"/>
        <w:jc w:val="left"/>
      </w:pPr>
      <w:r>
        <w:rPr>
          <w:i/>
          <w:iCs/>
          <w:color w:val="7A8191"/>
          <w:sz w:val="18"/>
          <w:szCs w:val="18"/>
        </w:rPr>
        <w:t xml:space="preserve">Sursa: Date experimentale simulate; valori parametrice după [1].</w:t>
      </w:r>
    </w:p>
    <w:p>
      <w:pPr>
        <w:keepNext/>
        <w:spacing w:after="60" w:before="160" w:line="240"/>
        <w:ind w:firstLine="0"/>
        <w:jc w:val="center"/>
      </w:pPr>
      <w:r>
        <w:drawing>
          <wp:inline distT="0" distB="0" distL="0" distR="0">
            <wp:extent cx="5762625" cy="2743200"/>
            <wp:effectExtent t="0" r="0" b="0" l="0"/>
            <wp:docPr id="6" name="Figura 6" descr="Concentrația de plumb în punctele de prelevare, comparată cu valoarea parametrică (µg/L)" title="Concentrația de plumb în punctele de prelevare, comparată cu valoarea parametrică (µ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Concentrația de plumb în punctele de prelevare, comparată cu valoarea parametrică (µg/L)</w:t>
      </w:r>
    </w:p>
    <w:p>
      <w:pPr>
        <w:spacing w:after="200" w:line="240"/>
        <w:ind w:firstLine="0"/>
        <w:jc w:val="center"/>
      </w:pPr>
      <w:r>
        <w:rPr>
          <w:i/>
          <w:iCs/>
          <w:color w:val="7A8191"/>
          <w:sz w:val="18"/>
          <w:szCs w:val="18"/>
        </w:rPr>
        <w:t xml:space="preserve">Sursa: Prelucrare proprie.</w:t>
      </w:r>
    </w:p>
    <w:p>
      <w:r>
        <w:t xml:space="preserve">Raportate la valorile parametrice, cadmiul rămâne sub 13% din limită în toate punctele, iar nichelul sub 40%; doar plumbul se apropie de limită sau o depășește (Figura 7).</w:t>
      </w:r>
    </w:p>
    <w:p>
      <w:pPr>
        <w:keepNext/>
        <w:spacing w:after="60" w:before="160" w:line="240"/>
        <w:ind w:firstLine="0"/>
        <w:jc w:val="center"/>
      </w:pPr>
      <w:r>
        <w:drawing>
          <wp:inline distT="0" distB="0" distL="0" distR="0">
            <wp:extent cx="5762625" cy="2743200"/>
            <wp:effectExtent t="0" r="0" b="0" l="0"/>
            <wp:docPr id="7" name="Figura 7" descr="Concentrațiile exprimate ca procent din valoarea parametrică" title="Concentrațiile exprimate ca procent din valoarea parametri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Concentrațiile exprimate ca procent din valoarea parametrică</w:t>
      </w:r>
    </w:p>
    <w:p>
      <w:pPr>
        <w:spacing w:after="200" w:line="240"/>
        <w:ind w:firstLine="0"/>
        <w:jc w:val="center"/>
      </w:pPr>
      <w:r>
        <w:rPr>
          <w:i/>
          <w:iCs/>
          <w:color w:val="7A8191"/>
          <w:sz w:val="18"/>
          <w:szCs w:val="18"/>
        </w:rPr>
        <w:t xml:space="preserve">Sursa: Prelucrare proprie.</w:t>
      </w:r>
    </w:p>
    <w:p>
      <w:pPr>
        <w:pStyle w:val="Heading2"/>
        <w:keepNext/>
      </w:pPr>
      <w:r>
        <w:t xml:space="preserve">3.4. Interpretarea rezultatelor</w:t>
      </w:r>
    </w:p>
    <w:p>
      <w:r>
        <w:rPr>
          <w:b/>
          <w:bCs/>
        </w:rPr>
        <w:t xml:space="preserve">Sursa plumbului este instalația, nu apa tratată.</w:t>
      </w:r>
      <w:r>
        <w:t xml:space="preserve"> Concentrația este mică la ieșirea din stația de tratare și în rețeaua din PEHD (2,02–4,09 µg/L) și crește doar în clădirile cu instalații interioare vechi (P4 și P5). Rezultatul este în acord cu studiile care arată că plumbul provine în principal din conductele și fitingurile interioare [3], [5].</w:t>
      </w:r>
    </w:p>
    <w:p>
      <w:r>
        <w:rPr>
          <w:b/>
          <w:bCs/>
        </w:rPr>
        <w:t xml:space="preserve">Depășirea din P5 este sigură, nu o eroare de măsurare.</w:t>
      </w:r>
      <w:r>
        <w:t xml:space="preserve"> Chiar dacă scădem dublul abaterii standard (2 × 0,33 µg/L), concentrația rămâne peste 11 µg/L. În schimb, proba P4 (6,16 µg/L) este conformă astăzi, dar ar depăși valoarea de 5 µg/L aplicabilă din 2036 [1].</w:t>
      </w:r>
    </w:p>
    <w:p>
      <w:commentRangeStart w:id="12"/>
      <w:r>
        <w:rPr>
          <w:b/>
          <w:bCs/>
        </w:rPr>
        <w:t xml:space="preserve">Propunere:</w:t>
      </w:r>
      <w:r>
        <w:t xml:space="preserve"> pentru clădirile vechi recomandăm o campanie de prelevare la prima curgere, după stagnarea apei peste noapte, care ar arăta expunerea maximă a consumatorilor.</w:t>
      </w:r>
      <w:commentRangeEnd w:id="12"/>
      <w:r>
        <w:commentReference w:id="12"/>
      </w:r>
    </w:p>
    <w:p>
      <w:pPr>
        <w:pStyle w:val="Heading1"/>
        <w:pageBreakBefore/>
      </w:pPr>
      <w:commentRangeStart w:id="13"/>
      <w:r>
        <w:t xml:space="preserve">Concluzii</w:t>
      </w:r>
      <w:commentRangeEnd w:id="13"/>
      <w:r>
        <w:commentReference w:id="13"/>
      </w:r>
    </w:p>
    <w:p>
      <w:r>
        <w:t xml:space="preserve">Metoda GFAAS a fost validată pentru Pb, Cd și Ni: dreapta de etalonare pentru plumb este liniară între 0 și 25 µg/L (R² = 0,9996), limitele de cuantificare sunt mult sub valorile parametrice, iar repetabilitatea și recuperarea îndeplinesc criteriile propuse.</w:t>
      </w:r>
    </w:p>
    <w:p>
      <w:r>
        <w:t xml:space="preserve">În cinci din cele șase puncte, toate metalele sunt sub valorile parametrice. Singura neconformitate este plumbul din punctul P5 (11,77 µg/L), explicată cel mai probabil de instalația interioară veche.</w:t>
      </w:r>
    </w:p>
    <w:p>
      <w:r>
        <w:rPr>
          <w:b/>
          <w:bCs/>
        </w:rPr>
        <w:t xml:space="preserve">Limitele lucrării:</w:t>
      </w:r>
      <w:r>
        <w:t xml:space="preserve"> număr mic de probe, o singură campanie de prelevare și lipsa probelor la prima curgere. O continuare utilă ar fi monitorizarea sezonieră și confirmarea rezultatelor prin ICP-MS.</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[1] Directiva (UE) 2020/2184 a Parlamentului European și a Consiliului din 16 decembrie 2020 privind calitatea apei destinate consumului uman (reformare). </w:t>
      </w:r>
      <w:r>
        <w:rPr>
          <w:i/>
          <w:iCs/>
        </w:rPr>
        <w:t xml:space="preserve">Jurnalul Oficial al Uniunii Europene</w:t>
      </w:r>
      <w:r>
        <w:t xml:space="preserve"> </w:t>
      </w:r>
      <w:r>
        <w:rPr>
          <w:b/>
          <w:bCs/>
        </w:rPr>
        <w:t xml:space="preserve">2020</w:t>
      </w:r>
      <w:r>
        <w:t xml:space="preserve">, L 435.</w:t>
      </w:r>
    </w:p>
    <w:p>
      <w:pPr>
        <w:spacing w:after="100" w:line="300"/>
        <w:ind w:left="709" w:hanging="709" w:firstLine="0"/>
        <w:jc w:val="left"/>
      </w:pPr>
      <w:r>
        <w:t xml:space="preserve">[2] Welz, B.; Sperling, M. </w:t>
      </w:r>
      <w:r>
        <w:rPr>
          <w:i/>
          <w:iCs/>
        </w:rPr>
        <w:t xml:space="preserve">Atomic Absorption Spectrometry</w:t>
      </w:r>
      <w:r>
        <w:t xml:space="preserve">, 3rd ed.; Wiley-VCH: Weinheim, </w:t>
      </w:r>
      <w:r>
        <w:rPr>
          <w:b/>
          <w:bCs/>
        </w:rPr>
        <w:t xml:space="preserve">1999</w:t>
      </w:r>
      <w:r>
        <w:t xml:space="preserve">.</w:t>
      </w:r>
    </w:p>
    <w:p>
      <w:pPr>
        <w:spacing w:after="100" w:line="300"/>
        <w:ind w:left="709" w:hanging="709" w:firstLine="0"/>
        <w:jc w:val="left"/>
      </w:pPr>
      <w:r>
        <w:t xml:space="preserve">[3] Popa, A.; Ionescu, D. Plumbul în apa de la robinet: rolul instalațiilor interioare. </w:t>
      </w:r>
      <w:r>
        <w:rPr>
          <w:i/>
          <w:iCs/>
        </w:rPr>
        <w:t xml:space="preserve">Rev. Chim. Anal. (exemplu)</w:t>
      </w:r>
      <w:r>
        <w:t xml:space="preserve"> </w:t>
      </w:r>
      <w:r>
        <w:rPr>
          <w:b/>
          <w:bCs/>
        </w:rPr>
        <w:t xml:space="preserve">2022</w:t>
      </w:r>
      <w:r>
        <w:t xml:space="preserve">, </w:t>
      </w:r>
      <w:r>
        <w:rPr>
          <w:i/>
          <w:iCs/>
        </w:rPr>
        <w:t xml:space="preserve">14</w:t>
      </w:r>
      <w:r>
        <w:t xml:space="preserve">, 101–112 (articol fictiv).</w:t>
      </w:r>
    </w:p>
    <w:p>
      <w:pPr>
        <w:spacing w:after="100" w:line="300"/>
        <w:ind w:left="709" w:hanging="709" w:firstLine="0"/>
        <w:jc w:val="left"/>
      </w:pPr>
      <w:r>
        <w:t xml:space="preserve">[4] Georgescu, M. </w:t>
      </w:r>
      <w:r>
        <w:rPr>
          <w:i/>
          <w:iCs/>
        </w:rPr>
        <w:t xml:space="preserve">Metode instrumentale în chimia analitică</w:t>
      </w:r>
      <w:r>
        <w:t xml:space="preserve">; Editura Exemplu: București, </w:t>
      </w:r>
      <w:r>
        <w:rPr>
          <w:b/>
          <w:bCs/>
        </w:rPr>
        <w:t xml:space="preserve">2020</w:t>
      </w:r>
      <w:r>
        <w:t xml:space="preserve"> (lucrare fictivă).</w:t>
      </w:r>
    </w:p>
    <w:p>
      <w:pPr>
        <w:spacing w:after="100" w:line="300"/>
        <w:ind w:left="709" w:hanging="709" w:firstLine="0"/>
        <w:jc w:val="left"/>
      </w:pPr>
      <w:r>
        <w:t xml:space="preserve">[5] Dumitru, E.; Matei, R.; Stan, L. Metale grele în rețele urbane de distribuție a apei. </w:t>
      </w:r>
      <w:r>
        <w:rPr>
          <w:i/>
          <w:iCs/>
        </w:rPr>
        <w:t xml:space="preserve">J. Water Anal. (exemplu)</w:t>
      </w:r>
      <w:r>
        <w:t xml:space="preserve"> </w:t>
      </w:r>
      <w:r>
        <w:rPr>
          <w:b/>
          <w:bCs/>
        </w:rPr>
        <w:t xml:space="preserve">2023</w:t>
      </w:r>
      <w:r>
        <w:t xml:space="preserve">, </w:t>
      </w:r>
      <w:r>
        <w:rPr>
          <w:i/>
          <w:iCs/>
        </w:rPr>
        <w:t xml:space="preserve">8</w:t>
      </w:r>
      <w:r>
        <w:t xml:space="preserve">, 45–58 (articol fictiv).</w:t>
      </w:r>
    </w:p>
    <w:p>
      <w:pPr>
        <w:spacing w:after="100" w:line="300"/>
        <w:ind w:left="709" w:hanging="709" w:firstLine="0"/>
        <w:jc w:val="left"/>
      </w:pPr>
      <w:r>
        <w:t xml:space="preserve">[6] Legea nr. 458/2002 privind calitatea apei potabile, cu modificările și completările ulterioare.</w:t>
      </w:r>
    </w:p>
    <w:p>
      <w:pPr>
        <w:pStyle w:val="Heading1"/>
        <w:pageBreakBefore/>
      </w:pPr>
      <w:commentRangeStart w:id="15"/>
      <w:r>
        <w:t xml:space="preserve">Anexa 1. Procedura de lucru pentru determinarea plumbului</w:t>
      </w:r>
      <w:commentRangeEnd w:id="15"/>
      <w:r>
        <w:commentReference w:id="15"/>
      </w:r>
    </w:p>
    <w:p>
      <w:pPr>
        <w:tabs>
          <w:tab w:val="left" w:pos="709"/>
        </w:tabs>
        <w:spacing w:after="60"/>
        <w:ind w:left="709" w:hanging="357" w:firstLine="0"/>
        <w:jc w:val="left"/>
      </w:pPr>
      <w:r>
        <w:t xml:space="preserve">1.	</w:t>
      </w:r>
      <w:r>
        <w:t xml:space="preserve">Se prelevează 250 mL de apă în flacon de polietilenă spălat cu HNO₃ 10%, după 2 minute de curgere.</w:t>
      </w:r>
    </w:p>
    <w:p>
      <w:pPr>
        <w:tabs>
          <w:tab w:val="left" w:pos="709"/>
        </w:tabs>
        <w:spacing w:after="60"/>
        <w:ind w:left="709" w:hanging="357" w:firstLine="0"/>
        <w:jc w:val="left"/>
      </w:pPr>
      <w:r>
        <w:t xml:space="preserve">2.	</w:t>
      </w:r>
      <w:r>
        <w:t xml:space="preserve">Se acidulează proba cu HNO₃ 65% până la pH &lt; 2 și se păstrează la 4 °C.</w:t>
      </w:r>
    </w:p>
    <w:p>
      <w:pPr>
        <w:tabs>
          <w:tab w:val="left" w:pos="709"/>
        </w:tabs>
        <w:spacing w:after="60"/>
        <w:ind w:left="709" w:hanging="357" w:firstLine="0"/>
        <w:jc w:val="left"/>
      </w:pPr>
      <w:r>
        <w:t xml:space="preserve">3.	</w:t>
      </w:r>
      <w:r>
        <w:t xml:space="preserve">Se prepară soluțiile etalon de 0, 5, 10, 15, 20 și 25 µg/L Pb prin diluarea soluției de 1000 mg/L în HNO₃ 0,2%.</w:t>
      </w:r>
    </w:p>
    <w:p>
      <w:pPr>
        <w:tabs>
          <w:tab w:val="left" w:pos="709"/>
        </w:tabs>
        <w:spacing w:after="60"/>
        <w:ind w:left="709" w:hanging="357" w:firstLine="0"/>
        <w:jc w:val="left"/>
      </w:pPr>
      <w:r>
        <w:t xml:space="preserve">4.	</w:t>
      </w:r>
      <w:r>
        <w:t xml:space="preserve">Se măsoară etaloanele, apoi probele în trei replicate; după fiecare 10 probe se măsoară un etalon de control (10 µg/L, abatere admisă ± 10%).</w:t>
      </w:r>
    </w:p>
    <w:p>
      <w:pPr>
        <w:tabs>
          <w:tab w:val="left" w:pos="709"/>
        </w:tabs>
        <w:spacing w:after="60"/>
        <w:ind w:left="709" w:hanging="357" w:firstLine="0"/>
        <w:jc w:val="left"/>
      </w:pPr>
      <w:r>
        <w:t xml:space="preserve">5.	</w:t>
      </w:r>
      <w:r>
        <w:t xml:space="preserve">Se măsoară zece probe blanc pentru calculul LOD și LOQ.</w:t>
      </w:r>
    </w:p>
    <w:p>
      <w:pPr>
        <w:tabs>
          <w:tab w:val="left" w:pos="709"/>
        </w:tabs>
        <w:spacing w:after="60"/>
        <w:ind w:left="709" w:hanging="357" w:firstLine="0"/>
        <w:jc w:val="left"/>
      </w:pPr>
      <w:r>
        <w:t xml:space="preserve">6.	</w:t>
      </w:r>
      <w:r>
        <w:t xml:space="preserve">Se calculează concentrația cu ecuația dreptei de etalonare și se raportează media ± abaterea standard.</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Chimie.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facut curba de calibrare si a iesit foarte bine (R=0.99). Plumbul a iesit mare in proba 5 deci apa din oras este toxica si nu ar trebui bauta. Rezultatele sunt in concordanta cu literatura de specialitate.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Dreapta de etalonare pentru plumb este liniară în domeniul 0–25 µg/L (A = 0,00837 · c + 0,0029; R² = 0,9996), iar reziduurile nu prezintă o tendință sistematică (Tabelul 6). Concentrația de plumb în proba P5 (11,77 ± 0,33 µg/L, n = 3) depășește valoarea parametrică de 10 µg/L [1], în timp ce probele din rețea se situează între 2,02 și 4,09 µg/L. Diferența sugerează că sursa plumbului este instalația interioară a clădirii, în acord cu observațiile din [3].</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și virgula zecimală, obligatorii în lucrare.</w:t>
      </w:r>
    </w:p>
    <w:p>
      <w:pPr>
        <w:tabs>
          <w:tab w:val="left" w:pos="709"/>
        </w:tabs>
        <w:spacing w:after="60"/>
        <w:ind w:left="709" w:hanging="357" w:firstLine="0"/>
        <w:jc w:val="left"/>
      </w:pPr>
      <w:r>
        <w:t xml:space="preserve">2.	</w:t>
      </w:r>
      <w:r>
        <w:t xml:space="preserve">„A ieșit foarte bine” a devenit ecuația dreptei, domeniul de lucru, R² și verificarea reziduurilor.</w:t>
      </w:r>
    </w:p>
    <w:p>
      <w:pPr>
        <w:tabs>
          <w:tab w:val="left" w:pos="709"/>
        </w:tabs>
        <w:spacing w:after="60"/>
        <w:ind w:left="709" w:hanging="357" w:firstLine="0"/>
        <w:jc w:val="left"/>
      </w:pPr>
      <w:r>
        <w:t xml:space="preserve">3.	</w:t>
      </w:r>
      <w:r>
        <w:t xml:space="preserve">Rezultatul are unitate de măsură, abatere standard și numărul de replicate.</w:t>
      </w:r>
    </w:p>
    <w:p>
      <w:pPr>
        <w:tabs>
          <w:tab w:val="left" w:pos="709"/>
        </w:tabs>
        <w:spacing w:after="60"/>
        <w:ind w:left="709" w:hanging="357" w:firstLine="0"/>
        <w:jc w:val="left"/>
      </w:pPr>
      <w:r>
        <w:t xml:space="preserve">4.	</w:t>
      </w:r>
      <w:r>
        <w:t xml:space="preserve">Concluzia „apa din oraș este toxică” a fost restrânsă la ce arată datele: o singură probă, dintr-o clădire veche.</w:t>
      </w:r>
    </w:p>
    <w:p>
      <w:pPr>
        <w:tabs>
          <w:tab w:val="left" w:pos="709"/>
        </w:tabs>
        <w:spacing w:after="60"/>
        <w:ind w:left="709" w:hanging="357" w:firstLine="0"/>
        <w:jc w:val="left"/>
      </w:pPr>
      <w:r>
        <w:t xml:space="preserve">5.	</w:t>
      </w:r>
      <w:r>
        <w:t xml:space="preserve">„În concordanță cu literatura” are acum o trimitere numerică precisă [3].</w:t>
      </w:r>
    </w:p>
    <w:p>
      <w:pPr>
        <w:spacing w:before="360"/>
        <w:ind w:firstLine="0"/>
        <w:jc w:val="left"/>
      </w:pPr>
      <w:r>
        <w:rPr>
          <w:b/>
          <w:bCs/>
        </w:rPr>
        <w:t xml:space="preserve">Vrei aceeași corectare pentru lucrarea ta? </w:t>
      </w:r>
      <w:hyperlink w:history="1" r:id="rIdp1im75exais7ubs-h5fq6">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tyzddoorvlalzdel_mpge">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bv1f3nfogmsrjp_1ly9xj">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Chimie prezintă contextul (de ce contează tema), stadiul cercetării pe scurt, obiectivele și structura lucrării. Nu descrie aici rezultatele.</w:t>
      </w:r>
    </w:p>
    <w:p>
      <w:r>
        <w:rPr>
          <w:rFonts w:ascii="Arial" w:cs="Arial" w:eastAsia="Arial" w:hAnsi="Arial"/>
          <w:b/>
          <w:bCs/>
          <w:sz w:val="16"/>
          <w:szCs w:val="16"/>
        </w:rPr>
        <w:t xml:space="preserve">Ghid: </w:t>
      </w:r>
      <w:hyperlink w:history="1" r:id="rIdli6reak3ybgppr-agqjwk">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Obiectivele trebuie să fie verificabile: fiecare are, în Capitolul 3, un tabel sau o figură care arată dacă a fost atins.</w:t>
      </w:r>
    </w:p>
    <w:p>
      <w:r>
        <w:rPr>
          <w:rFonts w:ascii="Arial" w:cs="Arial" w:eastAsia="Arial" w:hAnsi="Arial"/>
          <w:b/>
          <w:bCs/>
          <w:sz w:val="16"/>
          <w:szCs w:val="16"/>
        </w:rPr>
        <w:t xml:space="preserve">Ghid: </w:t>
      </w:r>
      <w:hyperlink w:history="1" r:id="rIdfchzczathalbmz2kzukec">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de literatură arată ce se știe deja: de unde provin contaminanții, ce limite impune legislația și ce metode analitice există. Fiecare afirmație are o trimitere numerică [n], în stil ACS.</w:t>
      </w:r>
    </w:p>
    <w:p>
      <w:r>
        <w:rPr>
          <w:rFonts w:ascii="Arial" w:cs="Arial" w:eastAsia="Arial" w:hAnsi="Arial"/>
          <w:b/>
          <w:bCs/>
          <w:sz w:val="16"/>
          <w:szCs w:val="16"/>
        </w:rPr>
        <w:t xml:space="preserve">Ghid: </w:t>
      </w:r>
      <w:hyperlink w:history="1" r:id="rId0uhlmd7_yk5idgjg5hoqn">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Valorile-limită se citează din actul normativ în vigoare la data redactării, cu articolul sau anexa exactă. În România, directiva se aplică prin legislația națională privind calitatea apei potabile (Legea nr. 458/2002, cu modificările ulterioare [6]): verifică forma actualizată a legii și dacă valorile naționale coincid cu cele din tabel.</w:t>
      </w:r>
    </w:p>
  </w:comment>
  <w:comment w:id="8" w:initials="LR" w:author="Rolul secțiunii" w:date="2026-05-20T10:00:00.000Z">
    <w:p>
      <w:r>
        <w:rPr>
          <w:sz w:val="18"/>
          <w:szCs w:val="18"/>
        </w:rPr>
        <w:t xml:space="preserve">Partea experimentală descrie materialele, aparatura și procedura atât de precis încât altcineva să poată repeta experimentul: puritatea reactivilor, furnizorul, condițiile de lucru, numărul de replicate.</w:t>
      </w:r>
    </w:p>
  </w:comment>
  <w:comment w:id="9" w:initials="LR" w:author="Sfat" w:date="2026-05-20T10:00:00.000Z">
    <w:p>
      <w:r>
        <w:rPr>
          <w:sz w:val="18"/>
          <w:szCs w:val="18"/>
        </w:rPr>
        <w:t xml:space="preserve">La Chimie, substanțele periculoase se menționează cu frazele de pericol (H) din fișa cu date de securitate (FDS) a furnizorului. Copiază-le din FDS-ul reactivului pe care l-ai folosit, nu din alte lucrări.</w:t>
      </w:r>
    </w:p>
  </w:comment>
  <w:comment w:id="10" w:initials="LR" w:author="Rolul secțiunii" w:date="2026-05-20T10:00:00.000Z">
    <w:p>
      <w:r>
        <w:rPr>
          <w:sz w:val="18"/>
          <w:szCs w:val="18"/>
        </w:rPr>
        <w:t xml:space="preserve">Acesta este capitolul cu contribuția ta: datele proprii, calculele, validarea și interpretarea lor. Fiecare tabel este urmat de o propoziție care spune ce arată, iar capitolul se încheie cu interpretarea ta, comparată cu literatura.</w:t>
      </w:r>
    </w:p>
  </w:comment>
  <w:comment w:id="11" w:initials="LR" w:author="Greșeală frecventă" w:date="2026-05-20T10:00:00.000Z">
    <w:p>
      <w:r>
        <w:rPr>
          <w:sz w:val="18"/>
          <w:szCs w:val="18"/>
        </w:rPr>
        <w:t xml:space="preserve">Un R² apropiat de 1 nu dovedește singur liniaritatea. Prezintă și reziduurile: dacă ele cresc sau formează o curbă, domeniul de lucru este prea larg.</w:t>
      </w:r>
    </w:p>
  </w:comment>
  <w:comment w:id="12" w:initials="LR" w:author="Greșeală frecventă" w:date="2026-05-20T10:00:00.000Z">
    <w:p>
      <w:r>
        <w:rPr>
          <w:sz w:val="18"/>
          <w:szCs w:val="18"/>
        </w:rPr>
        <w:t xml:space="preserve">Nu generaliza dincolo de date: o singură probă dintr-o clădire arată o problemă locală, nu „apa din oraș este toxică”. Spune clar câte probe ai și ce poți concluziona din ele.</w:t>
      </w:r>
    </w:p>
  </w:comment>
  <w:comment w:id="13" w:initials="LR" w:author="Rolul secțiunii" w:date="2026-05-20T10:00:00.000Z">
    <w:p>
      <w:r>
        <w:rPr>
          <w:sz w:val="18"/>
          <w:szCs w:val="18"/>
        </w:rPr>
        <w:t xml:space="preserve">Concluziile reiau obiectivele din introducere și spun, pentru fiecare, ce ai obținut. Încheie cu limitele lucrării și cu direcții de continuare.</w:t>
      </w:r>
    </w:p>
    <w:p>
      <w:r>
        <w:rPr>
          <w:rFonts w:ascii="Arial" w:cs="Arial" w:eastAsia="Arial" w:hAnsi="Arial"/>
          <w:b/>
          <w:bCs/>
          <w:sz w:val="16"/>
          <w:szCs w:val="16"/>
        </w:rPr>
        <w:t xml:space="preserve">Ghid: </w:t>
      </w:r>
      <w:hyperlink w:history="1" r:id="rIdiuiau1q0lbxfuxarggkfk">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La Chimie se folosește de obicei stilul ACS: trimiteri numerice [1] în text, sursele numerotate în ordinea primei citări. Directiva europeană, legea română și manualul lui Welz și Sperling sunt reale; celelalte surse sunt generice, inventate pentru exemplu.</w:t>
      </w:r>
    </w:p>
  </w:comment>
  <w:comment w:id="15" w:initials="LR" w:author="Rolul secțiunii" w:date="2026-05-20T10:00:00.000Z">
    <w:p>
      <w:r>
        <w:rPr>
          <w:sz w:val="18"/>
          <w:szCs w:val="18"/>
        </w:rPr>
        <w:t xml:space="preserve">În anexă pui procedura detaliată (pas cu pas), datele brute și certificatele soluțiilor etalon. În text faci trimitere la anexă, nu repeți tot protocolul.</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gejddusjcfp4u8c9ckt0l">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c3tj-9u5m7ab_7xieqy8w">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lo3not1j2dbfb1i22snhc">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tyzddoorvlalzdel_mpge" Type="http://schemas.openxmlformats.org/officeDocument/2006/relationships/hyperlink" Target="https://licenta-disertatie-romania.com/blog/cuprins-lucrare-licenta/" TargetMode="External"/><Relationship Id="rIdbv1f3nfogmsrjp_1ly9xj" Type="http://schemas.openxmlformats.org/officeDocument/2006/relationships/hyperlink" Target="https://licenta-disertatie-romania.com/blog/formatare-lucrare-licenta/" TargetMode="External"/><Relationship Id="rIdli6reak3ybgppr-agqjwk" Type="http://schemas.openxmlformats.org/officeDocument/2006/relationships/hyperlink" Target="https://licenta-disertatie-romania.com/blog/introducere-lucrare-licenta/" TargetMode="External"/><Relationship Id="rIdfchzczathalbmz2kzukec" Type="http://schemas.openxmlformats.org/officeDocument/2006/relationships/hyperlink" Target="https://licenta-disertatie-romania.com/blog/ipoteze-obiective-lucrare-licenta/" TargetMode="External"/><Relationship Id="rId0uhlmd7_yk5idgjg5hoqn" Type="http://schemas.openxmlformats.org/officeDocument/2006/relationships/hyperlink" Target="https://licenta-disertatie-romania.com/blog/structura-lucrare-licenta/" TargetMode="External"/><Relationship Id="rIdiuiau1q0lbxfuxarggkfk" Type="http://schemas.openxmlformats.org/officeDocument/2006/relationships/hyperlink" Target="https://licenta-disertatie-romania.com/blog/concluzii-lucrare-licenta/" TargetMode="External"/><Relationship Id="rIdgejddusjcfp4u8c9ckt0l"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p1im75exais7ubs-h5fq6" Type="http://schemas.openxmlformats.org/officeDocument/2006/relationships/hyperlink" Target="https://licenta-disertatie-romania.com/contact/" TargetMode="External"/><Relationship Id="rId10" Type="http://schemas.openxmlformats.org/officeDocument/2006/relationships/image" Target="media/c2cb0a2425c4fe9fe8f6d7e31d5c40bf158c5894.png"/><Relationship Id="rId11" Type="http://schemas.openxmlformats.org/officeDocument/2006/relationships/image" Target="media/405481508480791ecc3652c1991a2519762bfbc7.png"/><Relationship Id="rId12" Type="http://schemas.openxmlformats.org/officeDocument/2006/relationships/image" Target="media/4dcace46a69dcd9f048d9daec7c7c557a49c7b4f.png"/><Relationship Id="rId13" Type="http://schemas.openxmlformats.org/officeDocument/2006/relationships/image" Target="media/75302618bba8176d0500b88b62171e051b93fe63.png"/><Relationship Id="rId14" Type="http://schemas.openxmlformats.org/officeDocument/2006/relationships/image" Target="media/52d9fbbc462bb97b415e49a8eadb76595df5b776.png"/><Relationship Id="rId15" Type="http://schemas.openxmlformats.org/officeDocument/2006/relationships/image" Target="media/136ca0321b6b8089d05618c8bb6abb7ce892be54.png"/><Relationship Id="rId16" Type="http://schemas.openxmlformats.org/officeDocument/2006/relationships/image" Target="media/fa48bf7fc5d626f2db7f9006dc98286dee06ca64.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tj-9u5m7ab_7xieqy8w"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lo3not1j2dbfb1i22snhc"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Chimie</dc:title>
  <dc:creator>Licenta RO</dc:creator>
  <dc:description>Exemplu fictiv cu date simulate: licenta-disertatie-romania.com</dc:description>
  <cp:lastModifiedBy>Un-named</cp:lastModifiedBy>
  <cp:revision>1</cp:revision>
  <dcterms:created xsi:type="dcterms:W3CDTF">2026-10-05T20:23:30.358Z</dcterms:created>
  <dcterms:modified xsi:type="dcterms:W3CDTF">2026-10-05T20:23:30.359Z</dcterms:modified>
</cp:coreProperties>
</file>

<file path=docProps/custom.xml><?xml version="1.0" encoding="utf-8"?>
<Properties xmlns="http://schemas.openxmlformats.org/officeDocument/2006/custom-properties" xmlns:vt="http://schemas.openxmlformats.org/officeDocument/2006/docPropsVTypes"/>
</file>