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BIOLOGIE</w:t>
      </w:r>
    </w:p>
    <w:p>
      <w:pPr>
        <w:spacing w:after="0" w:before="60"/>
        <w:ind w:firstLine="0"/>
        <w:jc w:val="center"/>
      </w:pPr>
      <w:r>
        <w:rPr>
          <w:b w:val="false"/>
          <w:bCs w:val="false"/>
          <w:i w:val="false"/>
          <w:iCs w:val="false"/>
        </w:rPr>
        <w:t xml:space="preserve">Programul de studii: Biologie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Diversitatea macronevertebratelor acvatice într-un râu de deal</w:t>
      </w:r>
    </w:p>
    <w:p>
      <w:pPr>
        <w:spacing w:after="0" w:before="120"/>
        <w:ind w:firstLine="0"/>
        <w:jc w:val="center"/>
      </w:pPr>
      <w:r>
        <w:rPr>
          <w:b w:val="false"/>
          <w:bCs w:val="false"/>
          <w:i/>
          <w:iCs/>
          <w:sz w:val="24"/>
          <w:szCs w:val="24"/>
        </w:rPr>
        <w:t xml:space="preserve">Comparație între sectoarele din amonte și din aval de o localitate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Radu Stoica (nume fictiv)</w:t>
      </w:r>
    </w:p>
    <w:p>
      <w:pPr>
        <w:spacing w:before="300"/>
        <w:ind w:firstLine="0"/>
        <w:jc w:val="right"/>
      </w:pPr>
      <w:r>
        <w:rPr>
          <w:b/>
          <w:bCs/>
        </w:rPr>
        <w:t xml:space="preserve">Absolvent:</w:t>
      </w:r>
    </w:p>
    <w:p>
      <w:pPr>
        <w:ind w:firstLine="0"/>
        <w:jc w:val="right"/>
      </w:pPr>
      <w:r>
        <w:t xml:space="preserve">Maria Iordache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Maria Iordache</w:t>
      </w:r>
      <w:r>
        <w:t xml:space="preserve">, absolvent(ă) al(a) programului de studii Biologie, declar pe propria răspundere că lucrarea de licență cu titlul „Diversitatea macronevertebratelor acvatice într-un râu de deal”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Macronevertebratele acvatice ca bioindicatori</w:t>
      </w:r>
      <w:r>
        <w:t xml:space="preserve">	7</w:t>
      </w:r>
    </w:p>
    <w:p>
      <w:pPr>
        <w:tabs>
          <w:tab w:val="right" w:pos="9026" w:leader="dot"/>
        </w:tabs>
        <w:spacing w:after="40" w:line="300"/>
        <w:ind w:left="400" w:firstLine="0"/>
        <w:jc w:val="left"/>
      </w:pPr>
      <w:r>
        <w:rPr>
          <w:b w:val="false"/>
          <w:bCs w:val="false"/>
        </w:rPr>
        <w:t xml:space="preserve">1.1. Grupele de macronevertebrate</w:t>
      </w:r>
      <w:r>
        <w:t xml:space="preserve">	7</w:t>
      </w:r>
    </w:p>
    <w:p>
      <w:pPr>
        <w:tabs>
          <w:tab w:val="right" w:pos="9026" w:leader="dot"/>
        </w:tabs>
        <w:spacing w:after="40" w:line="300"/>
        <w:ind w:left="400" w:firstLine="0"/>
        <w:jc w:val="left"/>
      </w:pPr>
      <w:r>
        <w:rPr>
          <w:b w:val="false"/>
          <w:bCs w:val="false"/>
        </w:rPr>
        <w:t xml:space="preserve">1.2. Toleranța la poluarea organică</w:t>
      </w:r>
      <w:r>
        <w:t xml:space="preserve">	7</w:t>
      </w:r>
    </w:p>
    <w:p>
      <w:pPr>
        <w:tabs>
          <w:tab w:val="right" w:pos="9026" w:leader="dot"/>
        </w:tabs>
        <w:spacing w:after="40" w:line="300"/>
        <w:ind w:left="400" w:firstLine="0"/>
        <w:jc w:val="left"/>
      </w:pPr>
      <w:r>
        <w:rPr>
          <w:b w:val="false"/>
          <w:bCs w:val="false"/>
        </w:rPr>
        <w:t xml:space="preserve">1.3. Indicii de diversitate</w:t>
      </w:r>
      <w:r>
        <w:t xml:space="preserve">	8</w:t>
      </w:r>
    </w:p>
    <w:p>
      <w:pPr>
        <w:tabs>
          <w:tab w:val="right" w:pos="9026" w:leader="dot"/>
        </w:tabs>
        <w:spacing w:after="40" w:line="300"/>
        <w:ind w:left="0" w:firstLine="0"/>
        <w:jc w:val="left"/>
      </w:pPr>
      <w:r>
        <w:rPr>
          <w:b/>
          <w:bCs/>
        </w:rPr>
        <w:t xml:space="preserve">Capitolul 2. Material și metodă</w:t>
      </w:r>
      <w:r>
        <w:t xml:space="preserve">	9</w:t>
      </w:r>
    </w:p>
    <w:p>
      <w:pPr>
        <w:tabs>
          <w:tab w:val="right" w:pos="9026" w:leader="dot"/>
        </w:tabs>
        <w:spacing w:after="40" w:line="300"/>
        <w:ind w:left="400" w:firstLine="0"/>
        <w:jc w:val="left"/>
      </w:pPr>
      <w:r>
        <w:rPr>
          <w:b w:val="false"/>
          <w:bCs w:val="false"/>
        </w:rPr>
        <w:t xml:space="preserve">2.1. Zona de studiu și stațiile de prelevare</w:t>
      </w:r>
      <w:r>
        <w:t xml:space="preserve">	9</w:t>
      </w:r>
    </w:p>
    <w:p>
      <w:pPr>
        <w:tabs>
          <w:tab w:val="right" w:pos="9026" w:leader="dot"/>
        </w:tabs>
        <w:spacing w:after="40" w:line="300"/>
        <w:ind w:left="400" w:firstLine="0"/>
        <w:jc w:val="left"/>
      </w:pPr>
      <w:r>
        <w:rPr>
          <w:b w:val="false"/>
          <w:bCs w:val="false"/>
        </w:rPr>
        <w:t xml:space="preserve">2.2. Prelevarea și prelucrarea probelor</w:t>
      </w:r>
      <w:r>
        <w:t xml:space="preserve">	9</w:t>
      </w:r>
    </w:p>
    <w:p>
      <w:pPr>
        <w:tabs>
          <w:tab w:val="right" w:pos="9026" w:leader="dot"/>
        </w:tabs>
        <w:spacing w:after="40" w:line="300"/>
        <w:ind w:left="400" w:firstLine="0"/>
        <w:jc w:val="left"/>
      </w:pPr>
      <w:r>
        <w:rPr>
          <w:b w:val="false"/>
          <w:bCs w:val="false"/>
        </w:rPr>
        <w:t xml:space="preserve">2.3. Indici și analiza statistică</w:t>
      </w:r>
      <w:r>
        <w:t xml:space="preserve">	10</w:t>
      </w:r>
    </w:p>
    <w:p>
      <w:pPr>
        <w:tabs>
          <w:tab w:val="right" w:pos="9026" w:leader="dot"/>
        </w:tabs>
        <w:spacing w:after="40" w:line="300"/>
        <w:ind w:left="0" w:firstLine="0"/>
        <w:jc w:val="left"/>
      </w:pPr>
      <w:r>
        <w:rPr>
          <w:b/>
          <w:bCs/>
        </w:rPr>
        <w:t xml:space="preserve">Capitolul 3. Rezultate și discuții</w:t>
      </w:r>
      <w:r>
        <w:t xml:space="preserve">	11</w:t>
      </w:r>
    </w:p>
    <w:p>
      <w:pPr>
        <w:tabs>
          <w:tab w:val="right" w:pos="9026" w:leader="dot"/>
        </w:tabs>
        <w:spacing w:after="40" w:line="300"/>
        <w:ind w:left="400" w:firstLine="0"/>
        <w:jc w:val="left"/>
      </w:pPr>
      <w:r>
        <w:rPr>
          <w:b w:val="false"/>
          <w:bCs w:val="false"/>
        </w:rPr>
        <w:t xml:space="preserve">3.1. Parametrii fizico-chimici</w:t>
      </w:r>
      <w:r>
        <w:t xml:space="preserve">	11</w:t>
      </w:r>
    </w:p>
    <w:p>
      <w:pPr>
        <w:tabs>
          <w:tab w:val="right" w:pos="9026" w:leader="dot"/>
        </w:tabs>
        <w:spacing w:after="40" w:line="300"/>
        <w:ind w:left="400" w:firstLine="0"/>
        <w:jc w:val="left"/>
      </w:pPr>
      <w:r>
        <w:rPr>
          <w:b w:val="false"/>
          <w:bCs w:val="false"/>
        </w:rPr>
        <w:t xml:space="preserve">3.2. Compoziția comunităților</w:t>
      </w:r>
      <w:r>
        <w:t xml:space="preserve">	11</w:t>
      </w:r>
    </w:p>
    <w:p>
      <w:pPr>
        <w:tabs>
          <w:tab w:val="right" w:pos="9026" w:leader="dot"/>
        </w:tabs>
        <w:spacing w:after="40" w:line="300"/>
        <w:ind w:left="400" w:firstLine="0"/>
        <w:jc w:val="left"/>
      </w:pPr>
      <w:r>
        <w:rPr>
          <w:b w:val="false"/>
          <w:bCs w:val="false"/>
        </w:rPr>
        <w:t xml:space="preserve">3.3. Diversitatea pe stații</w:t>
      </w:r>
      <w:r>
        <w:t xml:space="preserve">	12</w:t>
      </w:r>
    </w:p>
    <w:p>
      <w:pPr>
        <w:tabs>
          <w:tab w:val="right" w:pos="9026" w:leader="dot"/>
        </w:tabs>
        <w:spacing w:after="40" w:line="300"/>
        <w:ind w:left="400" w:firstLine="0"/>
        <w:jc w:val="left"/>
      </w:pPr>
      <w:r>
        <w:rPr>
          <w:b w:val="false"/>
          <w:bCs w:val="false"/>
        </w:rPr>
        <w:t xml:space="preserve">3.4. Ponderea taxonilor sensibili (EPT)</w:t>
      </w:r>
      <w:r>
        <w:t xml:space="preserve">	14</w:t>
      </w:r>
    </w:p>
    <w:p>
      <w:pPr>
        <w:tabs>
          <w:tab w:val="right" w:pos="9026" w:leader="dot"/>
        </w:tabs>
        <w:spacing w:after="40" w:line="300"/>
        <w:ind w:left="400" w:firstLine="0"/>
        <w:jc w:val="left"/>
      </w:pPr>
      <w:r>
        <w:rPr>
          <w:b w:val="false"/>
          <w:bCs w:val="false"/>
        </w:rPr>
        <w:t xml:space="preserve">3.5. Interpretarea rezultatelor</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Exemplu de calcul al indicelui Shannon</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Principalele grupe de macronevertebrate bentonice din râurile de deal</w:t>
      </w:r>
      <w:r>
        <w:t xml:space="preserve">	7</w:t>
      </w:r>
    </w:p>
    <w:p>
      <w:pPr>
        <w:tabs>
          <w:tab w:val="right" w:pos="9026" w:leader="dot"/>
        </w:tabs>
        <w:spacing w:after="40" w:line="300"/>
        <w:ind w:left="0" w:firstLine="0"/>
        <w:jc w:val="left"/>
      </w:pPr>
      <w:r>
        <w:rPr>
          <w:b w:val="false"/>
          <w:bCs w:val="false"/>
        </w:rPr>
        <w:t xml:space="preserve">Figura 2. Schema longitudinală a sectorului studiat (în sensul curgerii)</w:t>
      </w:r>
      <w:r>
        <w:t xml:space="preserve">	9</w:t>
      </w:r>
    </w:p>
    <w:p>
      <w:pPr>
        <w:tabs>
          <w:tab w:val="right" w:pos="9026" w:leader="dot"/>
        </w:tabs>
        <w:spacing w:after="40" w:line="300"/>
        <w:ind w:left="0" w:firstLine="0"/>
        <w:jc w:val="left"/>
      </w:pPr>
      <w:r>
        <w:rPr>
          <w:b w:val="false"/>
          <w:bCs w:val="false"/>
        </w:rPr>
        <w:t xml:space="preserve">Figura 3. Etapele de lucru, de la teren la analiza datelor</w:t>
      </w:r>
      <w:r>
        <w:t xml:space="preserve">	10</w:t>
      </w:r>
    </w:p>
    <w:p>
      <w:pPr>
        <w:tabs>
          <w:tab w:val="right" w:pos="9026" w:leader="dot"/>
        </w:tabs>
        <w:spacing w:after="40" w:line="300"/>
        <w:ind w:left="0" w:firstLine="0"/>
        <w:jc w:val="left"/>
      </w:pPr>
      <w:r>
        <w:rPr>
          <w:b w:val="false"/>
          <w:bCs w:val="false"/>
        </w:rPr>
        <w:t xml:space="preserve">Figura 4. Ponderea principalelor grupe de macronevertebrate pe stații (% din numărul de indivizi)</w:t>
      </w:r>
      <w:r>
        <w:t xml:space="preserve">	12</w:t>
      </w:r>
    </w:p>
    <w:p>
      <w:pPr>
        <w:tabs>
          <w:tab w:val="right" w:pos="9026" w:leader="dot"/>
        </w:tabs>
        <w:spacing w:after="40" w:line="300"/>
        <w:ind w:left="0" w:firstLine="0"/>
        <w:jc w:val="left"/>
      </w:pPr>
      <w:r>
        <w:rPr>
          <w:b w:val="false"/>
          <w:bCs w:val="false"/>
        </w:rPr>
        <w:t xml:space="preserve">Figura 5. Indicele Shannon (H′) pe proba cumulată, pe stații</w:t>
      </w:r>
      <w:r>
        <w:t xml:space="preserve">	13</w:t>
      </w:r>
    </w:p>
    <w:p>
      <w:pPr>
        <w:tabs>
          <w:tab w:val="right" w:pos="9026" w:leader="dot"/>
        </w:tabs>
        <w:spacing w:after="40" w:line="300"/>
        <w:ind w:left="0" w:firstLine="0"/>
        <w:jc w:val="left"/>
      </w:pPr>
      <w:r>
        <w:rPr>
          <w:b w:val="false"/>
          <w:bCs w:val="false"/>
        </w:rPr>
        <w:t xml:space="preserve">Figura 6. Distribuția indicelui Shannon pe probele individuale (3 probe/stație)</w:t>
      </w:r>
      <w:r>
        <w:t xml:space="preserve">	13</w:t>
      </w:r>
    </w:p>
    <w:p>
      <w:pPr>
        <w:tabs>
          <w:tab w:val="right" w:pos="9026" w:leader="dot"/>
        </w:tabs>
        <w:spacing w:after="40" w:line="300"/>
        <w:ind w:left="0" w:firstLine="0"/>
        <w:jc w:val="left"/>
      </w:pPr>
      <w:r>
        <w:rPr>
          <w:b w:val="false"/>
          <w:bCs w:val="false"/>
        </w:rPr>
        <w:t xml:space="preserve">Figura 7. Ponderea medie a taxonilor EPT pe stații (probe individuale)</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Grupe de macronevertebrate și toleranța lor la poluarea organică</w:t>
      </w:r>
      <w:r>
        <w:t xml:space="preserve">	8</w:t>
      </w:r>
    </w:p>
    <w:p>
      <w:pPr>
        <w:tabs>
          <w:tab w:val="right" w:pos="9026" w:leader="dot"/>
        </w:tabs>
        <w:spacing w:after="40" w:line="300"/>
        <w:ind w:left="0" w:firstLine="0"/>
        <w:jc w:val="left"/>
      </w:pPr>
      <w:r>
        <w:rPr>
          <w:b w:val="false"/>
          <w:bCs w:val="false"/>
        </w:rPr>
        <w:t xml:space="preserve">Tabelul 2. Caracteristicile stațiilor de prelevare</w:t>
      </w:r>
      <w:r>
        <w:t xml:space="preserve">	9</w:t>
      </w:r>
    </w:p>
    <w:p>
      <w:pPr>
        <w:tabs>
          <w:tab w:val="right" w:pos="9026" w:leader="dot"/>
        </w:tabs>
        <w:spacing w:after="40" w:line="300"/>
        <w:ind w:left="0" w:firstLine="0"/>
        <w:jc w:val="left"/>
      </w:pPr>
      <w:r>
        <w:rPr>
          <w:b w:val="false"/>
          <w:bCs w:val="false"/>
        </w:rPr>
        <w:t xml:space="preserve">Tabelul 3. Parametrii fizico-chimici ai apei, măsurați la prelevare</w:t>
      </w:r>
      <w:r>
        <w:t xml:space="preserve">	11</w:t>
      </w:r>
    </w:p>
    <w:p>
      <w:pPr>
        <w:tabs>
          <w:tab w:val="right" w:pos="9026" w:leader="dot"/>
        </w:tabs>
        <w:spacing w:after="40" w:line="300"/>
        <w:ind w:left="0" w:firstLine="0"/>
        <w:jc w:val="left"/>
      </w:pPr>
      <w:r>
        <w:rPr>
          <w:b w:val="false"/>
          <w:bCs w:val="false"/>
        </w:rPr>
        <w:t xml:space="preserve">Tabelul 4. Abundența macronevertebratelor pe taxoni și stații (număr de indivizi, 3 probe cumulate)</w:t>
      </w:r>
      <w:r>
        <w:t xml:space="preserve">	11</w:t>
      </w:r>
    </w:p>
    <w:p>
      <w:pPr>
        <w:tabs>
          <w:tab w:val="right" w:pos="9026" w:leader="dot"/>
        </w:tabs>
        <w:spacing w:after="40" w:line="300"/>
        <w:ind w:left="0" w:firstLine="0"/>
        <w:jc w:val="left"/>
      </w:pPr>
      <w:r>
        <w:rPr>
          <w:b w:val="false"/>
          <w:bCs w:val="false"/>
        </w:rPr>
        <w:t xml:space="preserve">Tabelul 5. Indicii de diversitate calculați pe proba cumulată a fiecărei stații</w:t>
      </w:r>
      <w:r>
        <w:t xml:space="preserve">	12</w:t>
      </w:r>
    </w:p>
    <w:p>
      <w:pPr>
        <w:tabs>
          <w:tab w:val="right" w:pos="9026" w:leader="dot"/>
        </w:tabs>
        <w:spacing w:after="40" w:line="300"/>
        <w:ind w:left="0" w:firstLine="0"/>
        <w:jc w:val="left"/>
      </w:pPr>
      <w:r>
        <w:rPr>
          <w:b w:val="false"/>
          <w:bCs w:val="false"/>
        </w:rPr>
        <w:t xml:space="preserve">Tabelul 6. Indicele Shannon pe probe individuale, în funcție de stație</w:t>
      </w:r>
      <w:r>
        <w:t xml:space="preserve">	13</w:t>
      </w:r>
    </w:p>
    <w:p>
      <w:pPr>
        <w:tabs>
          <w:tab w:val="right" w:pos="9026" w:leader="dot"/>
        </w:tabs>
        <w:spacing w:after="40" w:line="300"/>
        <w:ind w:left="0" w:firstLine="0"/>
        <w:jc w:val="left"/>
      </w:pPr>
      <w:r>
        <w:rPr>
          <w:b w:val="false"/>
          <w:bCs w:val="false"/>
        </w:rPr>
        <w:t xml:space="preserve">Tabelul 7. Comparații perechi pentru indicele Shannon (testul Tukey HSD)</w:t>
      </w:r>
      <w:r>
        <w:t xml:space="preserve">	14</w:t>
      </w:r>
    </w:p>
    <w:p>
      <w:pPr>
        <w:tabs>
          <w:tab w:val="right" w:pos="9026" w:leader="dot"/>
        </w:tabs>
        <w:spacing w:after="40" w:line="300"/>
        <w:ind w:left="0" w:firstLine="0"/>
        <w:jc w:val="left"/>
      </w:pPr>
      <w:r>
        <w:rPr>
          <w:b w:val="false"/>
          <w:bCs w:val="false"/>
        </w:rPr>
        <w:t xml:space="preserve">Tabelul 8. Ponderea taxonilor EPT (%) pe probe individuale, în funcție de stație</w:t>
      </w:r>
      <w:r>
        <w:t xml:space="preserve">	14</w:t>
      </w:r>
    </w:p>
    <w:p>
      <w:pPr>
        <w:tabs>
          <w:tab w:val="right" w:pos="9026" w:leader="dot"/>
        </w:tabs>
        <w:spacing w:after="40" w:line="300"/>
        <w:ind w:left="0" w:firstLine="0"/>
        <w:jc w:val="left"/>
      </w:pPr>
      <w:r>
        <w:rPr>
          <w:b w:val="false"/>
          <w:bCs w:val="false"/>
        </w:rPr>
        <w:t xml:space="preserve">Tabelul 9. Calculul indicelui Shannon pentru stația S1 (proba cumulată)</w:t>
      </w:r>
      <w:r>
        <w:t xml:space="preserve">	18</w:t>
      </w:r>
    </w:p>
    <w:p>
      <w:pPr>
        <w:pStyle w:val="Heading1"/>
        <w:pageBreakBefore/>
      </w:pPr>
      <w:commentRangeStart w:id="3"/>
      <w:r>
        <w:t xml:space="preserve">Rezumat</w:t>
      </w:r>
      <w:commentRangeEnd w:id="3"/>
      <w:r>
        <w:commentReference w:id="3"/>
      </w:r>
    </w:p>
    <w:p>
      <w:r>
        <w:t xml:space="preserve">Lucrarea evaluează diversitatea macronevertebratelor acvatice dintr-un râu de deal, în amonte și în aval de o localitate rurală fără stație de epurare modernă. Probele au fost prelevate cu plasa de mână în patru stații, câte trei probe pe stație, iar organismele au fost determinate la nivel de familie. Au fost identificați 16 taxoni și 1.570 de indivizi. Pentru fiecare stație s-au calculat indicele Shannon, echitabilitatea Pielou și ponderea taxonilor EPT, iar diferențele au fost testate cu ANOVA și testul Tukey. Imediat în aval de evacuarea apelor uzate diversitatea scade semnificativ, iar comunitatea este dominată de chironomide și oligochete. La 3 km în aval indicele Shannon revine aproape de valorile din amonte, dar ponderea taxonilor sensibili rămâne redusă. Ponderea EPT s-a dovedit un indicator mai sensibil decât indicele Shannon.</w:t>
      </w:r>
    </w:p>
    <w:p>
      <w:pPr>
        <w:spacing w:after="400"/>
        <w:ind w:firstLine="0"/>
        <w:jc w:val="left"/>
      </w:pPr>
      <w:r>
        <w:rPr>
          <w:b/>
          <w:bCs/>
        </w:rPr>
        <w:t xml:space="preserve">Cuvinte-cheie:</w:t>
      </w:r>
      <w:r>
        <w:t xml:space="preserve"> macronevertebrate, bioindicatori, indicele Shannon, EPT, poluare organică, râu de deal</w:t>
      </w:r>
    </w:p>
    <w:p>
      <w:pPr>
        <w:spacing w:after="200"/>
        <w:ind w:firstLine="0"/>
        <w:jc w:val="center"/>
      </w:pPr>
      <w:r>
        <w:rPr>
          <w:b/>
          <w:bCs/>
          <w:color w:val="16233F"/>
          <w:sz w:val="26"/>
          <w:szCs w:val="26"/>
        </w:rPr>
        <w:t xml:space="preserve">Abstract</w:t>
      </w:r>
    </w:p>
    <w:p>
      <w:r>
        <w:t xml:space="preserve">This thesis assesses the diversity of aquatic macroinvertebrates in a hill stream, upstream and downstream of a rural settlement without modern wastewater treatment. Samples were collected with a hand net at four stations, three samples per station, and organisms were identified to family level. A total of 16 taxa and 1,570 individuals were recorded. For each station, the Shannon index, Pielou evenness and the share of EPT taxa were calculated, and differences were tested with ANOVA and Tukey's test. Immediately downstream of the wastewater outlet, diversity drops significantly and the community is dominated by chironomids and oligochaetes. Three kilometres downstream, the Shannon index returns close to upstream values, but the share of sensitive taxa remains low. The EPT share proved to be a more sensitive indicator than the Shannon index.</w:t>
      </w:r>
    </w:p>
    <w:p>
      <w:pPr>
        <w:ind w:firstLine="0"/>
        <w:jc w:val="left"/>
      </w:pPr>
      <w:r>
        <w:rPr>
          <w:b/>
          <w:bCs/>
        </w:rPr>
        <w:t xml:space="preserve">Keywords:</w:t>
      </w:r>
      <w:r>
        <w:t xml:space="preserve"> macroinvertebrates, bioindicators, Shannon index, EPT, organic pollution, hill stream</w:t>
      </w:r>
    </w:p>
    <w:p>
      <w:pPr>
        <w:pStyle w:val="Heading1"/>
        <w:pageBreakBefore/>
      </w:pPr>
      <w:commentRangeStart w:id="4"/>
      <w:r>
        <w:t xml:space="preserve">Introducere</w:t>
      </w:r>
      <w:commentRangeEnd w:id="4"/>
      <w:r>
        <w:commentReference w:id="4"/>
      </w:r>
    </w:p>
    <w:p>
      <w:r>
        <w:t xml:space="preserve">Râurile mici de deal primesc adesea ape uzate insuficient epurate de la localitățile din lunca lor. Efectele nu se văd întotdeauna în analizele chimice punctuale, dar se reflectă în comunitățile de organisme care trăiesc pe fundul apei. Macronevertebratele bentonice sunt de aceea folosite ca bioindicatori în evaluarea stării ecologice a apelor, inclusiv în aplicarea Directivei-cadru privind apa (Directiva 2000/60/CE).</w:t>
      </w:r>
    </w:p>
    <w:p>
      <w:r>
        <w:rPr>
          <w:b/>
          <w:bCs/>
        </w:rPr>
        <w:t xml:space="preserve">Scopul lucrării</w:t>
      </w:r>
      <w:r>
        <w:t xml:space="preserve"> este evaluarea diversității macronevertebratelor acvatice dintr-un râu de deal (denumit în lucrare „râul X”) în amonte și în aval de o localitate. Obiectivele sunt:</w:t>
      </w:r>
    </w:p>
    <w:p>
      <w:pPr>
        <w:tabs>
          <w:tab w:val="left" w:pos="709"/>
        </w:tabs>
        <w:spacing w:after="60"/>
        <w:ind w:left="709" w:hanging="357" w:firstLine="0"/>
        <w:jc w:val="left"/>
      </w:pPr>
      <w:r>
        <w:t xml:space="preserve">1.	</w:t>
      </w:r>
      <w:r>
        <w:t xml:space="preserve">inventarierea taxonilor de macronevertebrate din patru stații de prelevare;</w:t>
      </w:r>
    </w:p>
    <w:p>
      <w:pPr>
        <w:tabs>
          <w:tab w:val="left" w:pos="709"/>
        </w:tabs>
        <w:spacing w:after="60"/>
        <w:ind w:left="709" w:hanging="357" w:firstLine="0"/>
        <w:jc w:val="left"/>
      </w:pPr>
      <w:r>
        <w:t xml:space="preserve">2.	</w:t>
      </w:r>
      <w:r>
        <w:t xml:space="preserve">calcularea indicilor de diversitate (Shannon, Pielou) și a ponderii taxonilor EPT;</w:t>
      </w:r>
    </w:p>
    <w:p>
      <w:pPr>
        <w:tabs>
          <w:tab w:val="left" w:pos="709"/>
        </w:tabs>
        <w:spacing w:after="60"/>
        <w:ind w:left="709" w:hanging="357" w:firstLine="0"/>
        <w:jc w:val="left"/>
      </w:pPr>
      <w:r>
        <w:t xml:space="preserve">3.	</w:t>
      </w:r>
      <w:r>
        <w:t xml:space="preserve">compararea stațiilor din amonte și din aval de localitate.</w:t>
      </w:r>
    </w:p>
    <w:p>
      <w:commentRangeStart w:id="5"/>
      <w:r>
        <w:rPr>
          <w:b/>
          <w:bCs/>
        </w:rPr>
        <w:t xml:space="preserve">Ipotezele</w:t>
      </w:r>
      <w:r>
        <w:t xml:space="preserve"> sunt: (I1) diversitatea este mai mică imediat în aval de evacuarea apelor uzate decât în amonte; (I2) ponderea taxonilor sensibili (EPT) scade în aval; (I3) la 3 km în aval comunitatea se reface parțial.</w:t>
      </w:r>
      <w:commentRangeEnd w:id="5"/>
      <w:r>
        <w:commentReference w:id="5"/>
      </w:r>
    </w:p>
    <w:p>
      <w:pPr>
        <w:pStyle w:val="Heading1"/>
        <w:pageBreakBefore/>
      </w:pPr>
      <w:commentRangeStart w:id="6"/>
      <w:r>
        <w:t xml:space="preserve">Capitolul 1. Macronevertebratele acvatice ca bioindicatori</w:t>
      </w:r>
      <w:commentRangeEnd w:id="6"/>
      <w:r>
        <w:commentReference w:id="6"/>
      </w:r>
    </w:p>
    <w:p>
      <w:pPr>
        <w:pStyle w:val="Heading2"/>
        <w:keepNext/>
      </w:pPr>
      <w:r>
        <w:t xml:space="preserve">1.1. Grupele de macronevertebrate</w:t>
      </w:r>
    </w:p>
    <w:p>
      <w:r>
        <w:t xml:space="preserve">Macronevertebratele bentonice sunt nevertebratele vizibile cu ochiul liber (de regulă reținute de o sită de 0,5 mm) care trăiesc pe substratul râurilor. În râurile de deal domină larvele de insecte, alături de crustacee, moluște și anelide (Figura 1; Popa, 2019).</w:t>
      </w:r>
    </w:p>
    <w:p>
      <w:pPr>
        <w:keepNext/>
        <w:spacing w:after="60" w:before="160" w:line="240"/>
        <w:ind w:firstLine="0"/>
        <w:jc w:val="center"/>
      </w:pPr>
      <w:r>
        <w:drawing>
          <wp:inline distT="0" distB="0" distL="0" distR="0">
            <wp:extent cx="5762625" cy="2924175"/>
            <wp:effectExtent t="0" r="0" b="0" l="0"/>
            <wp:docPr id="1" name="Figura 1" descr="Principalele grupe de macronevertebrate bentonice din râurile de deal" title="Principalele grupe de macronevertebrate bentonice din râurile de 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Principalele grupe de macronevertebrate bentonice din râurile de deal</w:t>
      </w:r>
    </w:p>
    <w:p>
      <w:pPr>
        <w:spacing w:after="200" w:line="240"/>
        <w:ind w:firstLine="0"/>
        <w:jc w:val="center"/>
      </w:pPr>
      <w:r>
        <w:rPr>
          <w:i/>
          <w:iCs/>
          <w:color w:val="7A8191"/>
          <w:sz w:val="18"/>
          <w:szCs w:val="18"/>
        </w:rPr>
        <w:t xml:space="preserve">Sursa: Prelucrare proprie.</w:t>
      </w:r>
    </w:p>
    <w:p>
      <w:pPr>
        <w:pStyle w:val="Heading2"/>
        <w:keepNext/>
      </w:pPr>
      <w:r>
        <w:t xml:space="preserve">1.2. Toleranța la poluarea organică</w:t>
      </w:r>
    </w:p>
    <w:p>
      <w:r>
        <w:t xml:space="preserve">Grupele diferă mult prin toleranța la scăderea oxigenului dizolvat, efectul principal al încărcării organice. Larvele de efemeroptere (Ephemeroptera), plecoptere (Plecoptera) și trihoptere (Trichoptera), numite împreună </w:t>
      </w:r>
      <w:r>
        <w:rPr>
          <w:b/>
          <w:bCs/>
        </w:rPr>
        <w:t xml:space="preserve">EPT</w:t>
      </w:r>
      <w:r>
        <w:t xml:space="preserve">, sunt în general sensibile, în timp ce oligochetele, lipitorile și unele chironomide sunt tolerante (Tabelul 1; Mihai și Dobre, 2021).</w:t>
      </w:r>
    </w:p>
    <w:p>
      <w:pPr>
        <w:keepNext/>
        <w:spacing w:after="80" w:before="200" w:line="260"/>
        <w:ind w:firstLine="0"/>
        <w:jc w:val="left"/>
      </w:pPr>
      <w:r>
        <w:rPr>
          <w:b/>
          <w:bCs/>
          <w:sz w:val="22"/>
          <w:szCs w:val="22"/>
        </w:rPr>
        <w:t xml:space="preserve">Tabelul 1.</w:t>
      </w:r>
      <w:r>
        <w:rPr>
          <w:sz w:val="22"/>
          <w:szCs w:val="22"/>
        </w:rPr>
        <w:t xml:space="preserve"> Grupe de macronevertebrate și toleranța lor la poluarea organică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01"/>
        <w:gridCol w:w="2340"/>
        <w:gridCol w:w="1316"/>
        <w:gridCol w:w="3511"/>
      </w:tblGrid>
      <w:tr>
        <w:trPr>
          <w:tblHeader/>
        </w:trPr>
        <w:tc>
          <w:tcPr>
            <w:tcW w:type="dxa" w:w="19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w:t>
            </w:r>
          </w:p>
        </w:tc>
        <w:tc>
          <w:tcPr>
            <w:tcW w:type="dxa" w:w="23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 de familii</w:t>
            </w:r>
          </w:p>
        </w:tc>
        <w:tc>
          <w:tcPr>
            <w:tcW w:type="dxa" w:w="13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Toleranță</w:t>
            </w:r>
          </w:p>
        </w:tc>
        <w:tc>
          <w:tcPr>
            <w:tcW w:type="dxa" w:w="3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Semnificație ca bioindicator</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Ephemeroptera</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Heptageniidae, Baetidae</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Scăzută</w:t>
            </w:r>
          </w:p>
        </w:tc>
        <w:tc>
          <w:tcPr>
            <w:tcW w:type="dxa" w:w="3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Larvele au nevoie de apă bine oxigenată</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Plecoptera</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Perlidae, Leuctridae</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Foarte scăzută</w:t>
            </w:r>
          </w:p>
        </w:tc>
        <w:tc>
          <w:tcPr>
            <w:tcW w:type="dxa" w:w="3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Dispar primele la scăderea oxigenului</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Trichoptera</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Rhyacophilidae, Hydropsychidae</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Scăzută–medie</w:t>
            </w:r>
          </w:p>
        </w:tc>
        <w:tc>
          <w:tcPr>
            <w:tcW w:type="dxa" w:w="3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Hydropsychidae tolerează o încărcare organică moderată</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Amphipoda</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Gammaridae</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c>
          <w:tcPr>
            <w:tcW w:type="dxa" w:w="3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Frecvenți în apele curate și moderat poluate</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Diptera</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Chironomidae, Simuliidae</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Medie–ridicată</w:t>
            </w:r>
          </w:p>
        </w:tc>
        <w:tc>
          <w:tcPr>
            <w:tcW w:type="dxa" w:w="3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Unele Chironomidae suportă oxigen foarte scăzut</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Oligochaeta, Hirudinea, Isopoda</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Erpobdellidae, Asellidae</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c>
          <w:tcPr>
            <w:tcW w:type="dxa" w:w="3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Dominanți în sectoarele cu încărcare organică</w:t>
            </w:r>
          </w:p>
        </w:tc>
      </w:tr>
    </w:tbl>
    <w:p>
      <w:pPr>
        <w:spacing w:after="200" w:before="40" w:line="240"/>
        <w:ind w:firstLine="0"/>
        <w:jc w:val="left"/>
      </w:pPr>
      <w:r>
        <w:rPr>
          <w:i/>
          <w:iCs/>
          <w:color w:val="7A8191"/>
          <w:sz w:val="18"/>
          <w:szCs w:val="18"/>
        </w:rPr>
        <w:t xml:space="preserve">Sursa: Sinteză proprie după literatura de specialitate (sinteză generală, simplificată).</w:t>
      </w:r>
    </w:p>
    <w:p>
      <w:pPr>
        <w:pStyle w:val="Heading2"/>
        <w:keepNext/>
      </w:pPr>
      <w:r>
        <w:t xml:space="preserve">1.3. Indicii de diversitate</w:t>
      </w:r>
    </w:p>
    <w:p>
      <w:commentRangeStart w:id="7"/>
      <w:r>
        <w:t xml:space="preserve">Indicele Shannon (Shannon, 1948) combină numărul de taxoni și uniformitatea distribuției indivizilor între taxoni. Echitabilitatea Pielou (Pielou, 1966) arată cât de aproape este comunitatea de o distribuție perfect uniformă (J′ = 1). Poluarea organică reduce de obicei ambii indici, pentru că dispar taxonii sensibili, iar câțiva taxoni tolerați devin dominanți (Stan et al., 2022).</w:t>
      </w:r>
      <w:commentRangeEnd w:id="7"/>
      <w:r>
        <w:commentReference w:id="7"/>
      </w:r>
    </w:p>
    <w:p>
      <w:pPr>
        <w:pStyle w:val="Heading1"/>
        <w:pageBreakBefore/>
      </w:pPr>
      <w:commentRangeStart w:id="8"/>
      <w:r>
        <w:t xml:space="preserve">Capitolul 2. Material și metodă</w:t>
      </w:r>
      <w:commentRangeEnd w:id="8"/>
      <w:r>
        <w:commentReference w:id="8"/>
      </w:r>
    </w:p>
    <w:p>
      <w:pPr>
        <w:pStyle w:val="Heading2"/>
        <w:keepNext/>
      </w:pPr>
      <w:r>
        <w:t xml:space="preserve">2.1. Zona de studiu și stațiile de prelevare</w:t>
      </w:r>
    </w:p>
    <w:p>
      <w:r>
        <w:t xml:space="preserve">Sectorul studiat are aproximativ 7 km și traversează o localitate rurală cu circa 3.000 de locuitori, fără stație de epurare modernă. Au fost stabilite patru stații (Tabelul 2, Figura 2): două în amonte, folosite ca referință, și două în aval de punctul de evacuare a apelor uzate.</w:t>
      </w:r>
    </w:p>
    <w:p>
      <w:pPr>
        <w:keepNext/>
        <w:spacing w:after="80" w:before="200" w:line="260"/>
        <w:ind w:firstLine="0"/>
        <w:jc w:val="left"/>
      </w:pPr>
      <w:r>
        <w:rPr>
          <w:b/>
          <w:bCs/>
          <w:sz w:val="22"/>
          <w:szCs w:val="22"/>
        </w:rPr>
        <w:t xml:space="preserve">Tabelul 2.</w:t>
      </w:r>
      <w:r>
        <w:rPr>
          <w:sz w:val="22"/>
          <w:szCs w:val="22"/>
        </w:rPr>
        <w:t xml:space="preserve"> Caracteristicile stațiilor de prelevare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007"/>
        <w:gridCol w:w="2735"/>
        <w:gridCol w:w="1439"/>
        <w:gridCol w:w="1439"/>
        <w:gridCol w:w="2447"/>
      </w:tblGrid>
      <w:tr>
        <w:trPr>
          <w:tblHeader/>
        </w:trPr>
        <w:tc>
          <w:tcPr>
            <w:tcW w:type="dxa" w:w="10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Stația</w:t>
            </w:r>
          </w:p>
        </w:tc>
        <w:tc>
          <w:tcPr>
            <w:tcW w:type="dxa" w:w="27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Poziția față de localitate</w:t>
            </w:r>
          </w:p>
        </w:tc>
        <w:tc>
          <w:tcPr>
            <w:tcW w:type="dxa" w:w="14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Altitudine (m)</w:t>
            </w:r>
          </w:p>
        </w:tc>
        <w:tc>
          <w:tcPr>
            <w:tcW w:type="dxa" w:w="14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Lățime medie (m)</w:t>
            </w:r>
          </w:p>
        </w:tc>
        <w:tc>
          <w:tcPr>
            <w:tcW w:type="dxa" w:w="244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Substrat dominant</w:t>
            </w:r>
          </w:p>
        </w:tc>
      </w:tr>
      <w:tr>
        <w:trPr>
          <w:cantSplit/>
        </w:trPr>
        <w:tc>
          <w:tcPr>
            <w:tcW w:type="dxa" w:w="10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S1</w:t>
            </w:r>
          </w:p>
        </w:tc>
        <w:tc>
          <w:tcPr>
            <w:tcW w:type="dxa" w:w="27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km amonte (stație de referință)</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c>
          <w:tcPr>
            <w:tcW w:type="dxa" w:w="24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Bolovăniș și pietriș</w:t>
            </w:r>
          </w:p>
        </w:tc>
      </w:tr>
      <w:tr>
        <w:trPr>
          <w:cantSplit/>
        </w:trPr>
        <w:tc>
          <w:tcPr>
            <w:tcW w:type="dxa" w:w="10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S2</w:t>
            </w:r>
          </w:p>
        </w:tc>
        <w:tc>
          <w:tcPr>
            <w:tcW w:type="dxa" w:w="27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0,5 km amonte</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395</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w:t>
            </w:r>
          </w:p>
        </w:tc>
        <w:tc>
          <w:tcPr>
            <w:tcW w:type="dxa" w:w="24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Pietriș</w:t>
            </w:r>
          </w:p>
        </w:tc>
      </w:tr>
      <w:tr>
        <w:trPr>
          <w:cantSplit/>
        </w:trPr>
        <w:tc>
          <w:tcPr>
            <w:tcW w:type="dxa" w:w="10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S3</w:t>
            </w:r>
          </w:p>
        </w:tc>
        <w:tc>
          <w:tcPr>
            <w:tcW w:type="dxa" w:w="27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0,3 km aval de evacuarea apelor uzate</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385</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7,5</w:t>
            </w:r>
          </w:p>
        </w:tc>
        <w:tc>
          <w:tcPr>
            <w:tcW w:type="dxa" w:w="24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Pietriș cu depuneri de mâl</w:t>
            </w:r>
          </w:p>
        </w:tc>
      </w:tr>
      <w:tr>
        <w:trPr>
          <w:cantSplit/>
        </w:trPr>
        <w:tc>
          <w:tcPr>
            <w:tcW w:type="dxa" w:w="10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S4</w:t>
            </w:r>
          </w:p>
        </w:tc>
        <w:tc>
          <w:tcPr>
            <w:tcW w:type="dxa" w:w="27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km aval</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c>
          <w:tcPr>
            <w:tcW w:type="dxa" w:w="24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Pietriș și nisip</w:t>
            </w:r>
          </w:p>
        </w:tc>
      </w:tr>
    </w:tbl>
    <w:p>
      <w:pPr>
        <w:spacing w:after="200" w:before="40" w:line="240"/>
        <w:ind w:firstLine="0"/>
        <w:jc w:val="left"/>
      </w:pPr>
      <w:r>
        <w:rPr>
          <w:i/>
          <w:iCs/>
          <w:color w:val="7A8191"/>
          <w:sz w:val="18"/>
          <w:szCs w:val="18"/>
        </w:rPr>
        <w:t xml:space="preserve">Sursa: Date de teren (fictive); râul și localitatea nu sunt numite.</w:t>
      </w:r>
    </w:p>
    <w:p>
      <w:pPr>
        <w:keepNext/>
        <w:spacing w:after="60" w:before="160" w:line="240"/>
        <w:ind w:firstLine="0"/>
        <w:jc w:val="center"/>
      </w:pPr>
      <w:r>
        <w:drawing>
          <wp:inline distT="0" distB="0" distL="0" distR="0">
            <wp:extent cx="5762625" cy="2009775"/>
            <wp:effectExtent t="0" r="0" b="0" l="0"/>
            <wp:docPr id="2" name="Figura 2" descr="Schema longitudinală a sectorului studiat (în sensul curgerii)" title="Schema longitudinală a sectorului studiat (în sensul curge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Schema longitudinală a sectorului studiat (în sensul curgerii)</w:t>
      </w:r>
    </w:p>
    <w:p>
      <w:pPr>
        <w:spacing w:after="200" w:line="240"/>
        <w:ind w:firstLine="0"/>
        <w:jc w:val="center"/>
      </w:pPr>
      <w:r>
        <w:rPr>
          <w:i/>
          <w:iCs/>
          <w:color w:val="7A8191"/>
          <w:sz w:val="18"/>
          <w:szCs w:val="18"/>
        </w:rPr>
        <w:t xml:space="preserve">Sursa: Prelucrare proprie.</w:t>
      </w:r>
    </w:p>
    <w:p>
      <w:pPr>
        <w:pStyle w:val="Heading2"/>
        <w:keepNext/>
      </w:pPr>
      <w:r>
        <w:t xml:space="preserve">2.2. Prelevarea și prelucrarea probelor</w:t>
      </w:r>
    </w:p>
    <w:p>
      <w:r>
        <w:t xml:space="preserve">Probele au fost prelevate într-o singură campanie, în mai 2025, cu o plasă de mână cu ochiuri de 500 µm, prin metoda „kick-sampling”: substratul din fața plasei a fost răscolit timp de 1 minut. În fiecare stație s-au luat 3 probe din microhabitate diferite. Organismele au fost conservate în alcool etilic 70%, triate sub lupă și determinate la nivel de familie (Oligochaeta la nivel de subclasă), după etapele din Figura 3. La fiecare stație s-au măsurat și parametrii fizico-chimici ai apei.</w:t>
      </w:r>
    </w:p>
    <w:p>
      <w:pPr>
        <w:keepNext/>
        <w:spacing w:after="60" w:before="160" w:line="240"/>
        <w:ind w:firstLine="0"/>
        <w:jc w:val="center"/>
      </w:pPr>
      <w:r>
        <w:drawing>
          <wp:inline distT="0" distB="0" distL="0" distR="0">
            <wp:extent cx="5762625" cy="2743200"/>
            <wp:effectExtent t="0" r="0" b="0" l="0"/>
            <wp:docPr id="3" name="Figura 3" descr="Etapele de lucru, de la teren la analiza datelor" title="Etapele de lucru, de la teren la analiza date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de lucru, de la teren la analiza datelor</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2.3. Indici și analiza statistică</w:t>
      </w:r>
    </w:p>
    <w:p>
      <w:r>
        <w:t xml:space="preserve">Pentru fiecare stație s-au calculat bogăția taxonomică (S), indicele Shannon (H′), echitabilitatea Pielou (J′) și ponderea indivizilor EPT. Indicele Shannon s-a calculat cu formula:</w:t>
      </w:r>
    </w:p>
    <w:p>
      <w:pPr>
        <w:spacing w:after="160" w:before="120"/>
        <w:ind w:firstLine="0"/>
        <w:jc w:val="center"/>
      </w:pPr>
      <w:r>
        <w:rPr>
          <w:i/>
          <w:iCs/>
        </w:rPr>
        <w:t xml:space="preserve">H′ = −Σ pᵢ · ln pᵢ,   unde pᵢ = nᵢ / N</w:t>
      </w:r>
    </w:p>
    <w:p>
      <w:r>
        <w:t xml:space="preserve">unde nᵢ este numărul de indivizi din taxonul i, iar N numărul total de indivizi din probă. Un exemplu complet de calcul se află în Anexa 1. Diferențele dintre stații au fost testate cu ANOVA unifactorială pe valorile din cele 3 probe individuale, urmată de testul Tukey HSD (α = 0,05), în programul R.</w:t>
      </w:r>
    </w:p>
    <w:p>
      <w:pPr>
        <w:pStyle w:val="Heading1"/>
        <w:pageBreakBefore/>
      </w:pPr>
      <w:commentRangeStart w:id="10"/>
      <w:r>
        <w:t xml:space="preserve">Capitolul 3. Rezultate și discuții</w:t>
      </w:r>
      <w:commentRangeEnd w:id="10"/>
      <w:r>
        <w:commentReference w:id="10"/>
      </w:r>
    </w:p>
    <w:p>
      <w:pPr>
        <w:pStyle w:val="Heading2"/>
        <w:keepNext/>
      </w:pPr>
      <w:r>
        <w:t xml:space="preserve">3.1. Parametrii fizico-chimici</w:t>
      </w:r>
    </w:p>
    <w:p>
      <w:r>
        <w:t xml:space="preserve">În stația S3 oxigenul dizolvat scade la 6,8 mg/L, iar conductivitatea și amoniul cresc puternic față de stațiile din amonte (Tabelul 3). La S4 valorile se apropie din nou de cele din amonte, dar nu le ating.</w:t>
      </w:r>
    </w:p>
    <w:p>
      <w:pPr>
        <w:keepNext/>
        <w:spacing w:after="80" w:before="200" w:line="260"/>
        <w:ind w:firstLine="0"/>
        <w:jc w:val="left"/>
      </w:pPr>
      <w:r>
        <w:rPr>
          <w:b/>
          <w:bCs/>
          <w:sz w:val="22"/>
          <w:szCs w:val="22"/>
        </w:rPr>
        <w:t xml:space="preserve">Tabelul 3.</w:t>
      </w:r>
      <w:r>
        <w:rPr>
          <w:sz w:val="22"/>
          <w:szCs w:val="22"/>
        </w:rPr>
        <w:t xml:space="preserve"> Parametrii fizico-chimici ai apei, măsurați la prelevare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51"/>
        <w:gridCol w:w="1583"/>
        <w:gridCol w:w="1727"/>
        <w:gridCol w:w="1007"/>
        <w:gridCol w:w="1871"/>
        <w:gridCol w:w="1727"/>
      </w:tblGrid>
      <w:tr>
        <w:trPr>
          <w:tblHeader/>
        </w:trPr>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Stația</w:t>
            </w:r>
          </w:p>
        </w:tc>
        <w:tc>
          <w:tcPr>
            <w:tcW w:type="dxa" w:w="15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Temperatura (°C)</w:t>
            </w:r>
          </w:p>
        </w:tc>
        <w:tc>
          <w:tcPr>
            <w:tcW w:type="dxa" w:w="17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Oxigen dizolvat (mg/L)</w:t>
            </w:r>
          </w:p>
        </w:tc>
        <w:tc>
          <w:tcPr>
            <w:tcW w:type="dxa" w:w="10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pH</w:t>
            </w:r>
          </w:p>
        </w:tc>
        <w:tc>
          <w:tcPr>
            <w:tcW w:type="dxa" w:w="18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Conductivitate (µS/cm)</w:t>
            </w:r>
          </w:p>
        </w:tc>
        <w:tc>
          <w:tcPr>
            <w:tcW w:type="dxa" w:w="17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Amoniu N-NH₄ (mg/L)</w:t>
            </w:r>
          </w:p>
        </w:tc>
      </w:tr>
      <w:tr>
        <w:trPr>
          <w:cantSplit/>
        </w:trPr>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S1</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12,4</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10,2</w:t>
            </w:r>
          </w:p>
        </w:tc>
        <w:tc>
          <w:tcPr>
            <w:tcW w:type="dxa" w:w="10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w:t>
            </w:r>
          </w:p>
        </w:tc>
        <w:tc>
          <w:tcPr>
            <w:tcW w:type="dxa" w:w="18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285</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0,05</w:t>
            </w:r>
          </w:p>
        </w:tc>
      </w:tr>
      <w:tr>
        <w:trPr>
          <w:cantSplit/>
        </w:trPr>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S2</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12,8</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9,9</w:t>
            </w:r>
          </w:p>
        </w:tc>
        <w:tc>
          <w:tcPr>
            <w:tcW w:type="dxa" w:w="10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7,9</w:t>
            </w:r>
          </w:p>
        </w:tc>
        <w:tc>
          <w:tcPr>
            <w:tcW w:type="dxa" w:w="18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r>
      <w:tr>
        <w:trPr>
          <w:cantSplit/>
        </w:trPr>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S3</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13,6</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6,8</w:t>
            </w:r>
          </w:p>
        </w:tc>
        <w:tc>
          <w:tcPr>
            <w:tcW w:type="dxa" w:w="10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w:t>
            </w:r>
          </w:p>
        </w:tc>
        <w:tc>
          <w:tcPr>
            <w:tcW w:type="dxa" w:w="18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520</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1,45</w:t>
            </w:r>
          </w:p>
        </w:tc>
      </w:tr>
      <w:tr>
        <w:trPr>
          <w:cantSplit/>
        </w:trPr>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S4</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13,3</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8,4</w:t>
            </w:r>
          </w:p>
        </w:tc>
        <w:tc>
          <w:tcPr>
            <w:tcW w:type="dxa" w:w="10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7,7</w:t>
            </w:r>
          </w:p>
        </w:tc>
        <w:tc>
          <w:tcPr>
            <w:tcW w:type="dxa" w:w="18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410</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0,52</w:t>
            </w:r>
          </w:p>
        </w:tc>
      </w:tr>
    </w:tbl>
    <w:p>
      <w:pPr>
        <w:spacing w:after="200" w:before="40" w:line="240"/>
        <w:ind w:firstLine="0"/>
        <w:jc w:val="left"/>
      </w:pPr>
      <w:r>
        <w:rPr>
          <w:i/>
          <w:iCs/>
          <w:color w:val="7A8191"/>
          <w:sz w:val="18"/>
          <w:szCs w:val="18"/>
        </w:rPr>
        <w:t xml:space="preserve">Sursa: Măsurători cu sondă multiparametru și test fotometric pentru amoniu (date simulate).</w:t>
      </w:r>
    </w:p>
    <w:p>
      <w:pPr>
        <w:pStyle w:val="Heading2"/>
        <w:keepNext/>
      </w:pPr>
      <w:r>
        <w:t xml:space="preserve">3.2. Compoziția comunităților</w:t>
      </w:r>
    </w:p>
    <w:p>
      <w:r>
        <w:t xml:space="preserve">Au fost identificați 16 taxoni și 1.570 de indivizi (Tabelul 4). Stațiile din amonte sunt dominate de taxonii EPT, în timp ce la S3 chironomidele și taxonii tolerați (Oligochaeta, Hirudinea, Asellidae, Physidae) reprezintă împreună peste 80% din indivizi (Figura 4).</w:t>
      </w:r>
    </w:p>
    <w:p>
      <w:pPr>
        <w:keepNext/>
        <w:spacing w:after="80" w:before="200" w:line="260"/>
        <w:ind w:firstLine="0"/>
        <w:jc w:val="left"/>
      </w:pPr>
      <w:r>
        <w:rPr>
          <w:b/>
          <w:bCs/>
          <w:sz w:val="22"/>
          <w:szCs w:val="22"/>
        </w:rPr>
        <w:t xml:space="preserve">Tabelul 4.</w:t>
      </w:r>
      <w:r>
        <w:rPr>
          <w:sz w:val="22"/>
          <w:szCs w:val="22"/>
        </w:rPr>
        <w:t xml:space="preserve"> Abundența macronevertebratelor pe taxoni și stații (număr de indivizi, 3 probe cumulate)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38"/>
        <w:gridCol w:w="2473"/>
        <w:gridCol w:w="989"/>
        <w:gridCol w:w="989"/>
        <w:gridCol w:w="989"/>
        <w:gridCol w:w="989"/>
      </w:tblGrid>
      <w:tr>
        <w:trPr>
          <w:tblHeader/>
        </w:trPr>
        <w:tc>
          <w:tcPr>
            <w:tcW w:type="dxa" w:w="26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Taxon (familie)</w:t>
            </w:r>
          </w:p>
        </w:tc>
        <w:tc>
          <w:tcPr>
            <w:tcW w:type="dxa" w:w="24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Ordin / grupă</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S1</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S2</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S3</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S4</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Baetidae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Ephemeroptera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62</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55</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14</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38</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Heptageniidae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Ephemeroptera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48</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37</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12</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Ephemerellidae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Ephemeroptera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21</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16</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5</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Perlidae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Plecoptera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14</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9</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Leuctridae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Plecoptera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26</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18</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6</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Hydropsychidae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Trichoptera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40</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44</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41</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Rhyacophilidae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Trichoptera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17</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12</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4</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Limnephilidae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Trichoptera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11</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9</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6</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Elmidae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Coleoptera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23</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19</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3</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11</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Simuliidae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Diptera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30</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34</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18</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27</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Chironomidae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Diptera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38</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49</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164</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92</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Gammaridae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Amphipoda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45</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52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21</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40</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Asellidae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Isopoda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3</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47</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19</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Physidae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Gastropoda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0</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6</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Erpobdellidae</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18"/>
                <w:szCs w:val="18"/>
              </w:rPr>
              <w:t xml:space="preserve">Hirudinea</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2</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4</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19</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18"/>
                <w:szCs w:val="18"/>
              </w:rPr>
              <w:t xml:space="preserve">8</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Oligochaeta (nedeterminate)</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18"/>
                <w:szCs w:val="18"/>
              </w:rPr>
              <w:t xml:space="preserve">Oligochaeta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8</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15</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121</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18"/>
                <w:szCs w:val="18"/>
              </w:rPr>
              <w:t xml:space="preserve">47</w:t>
            </w:r>
          </w:p>
        </w:tc>
      </w:tr>
      <w:tr>
        <w:trPr>
          <w:cantSplit/>
        </w:trPr>
        <w:tc>
          <w:tcPr>
            <w:tcW w:type="dxa" w:w="26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18"/>
                <w:szCs w:val="18"/>
              </w:rPr>
              <w:t xml:space="preserve">Total indivizi (N)</w:t>
            </w:r>
          </w:p>
        </w:tc>
        <w:tc>
          <w:tcPr>
            <w:tcW w:type="dxa" w:w="24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18"/>
                <w:szCs w:val="18"/>
              </w:rPr>
              <w:t xml:space="preserve">385</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18"/>
                <w:szCs w:val="18"/>
              </w:rPr>
              <w:t xml:space="preserve">378</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18"/>
                <w:szCs w:val="18"/>
              </w:rPr>
              <w:t xml:space="preserve">443</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18"/>
                <w:szCs w:val="18"/>
              </w:rPr>
              <w:t xml:space="preserve">364</w:t>
            </w:r>
          </w:p>
        </w:tc>
      </w:tr>
      <w:tr>
        <w:trPr>
          <w:cantSplit/>
        </w:trPr>
        <w:tc>
          <w:tcPr>
            <w:tcW w:type="dxa" w:w="26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18"/>
                <w:szCs w:val="18"/>
              </w:rPr>
              <w:t xml:space="preserve">Număr de taxoni (S)</w:t>
            </w:r>
          </w:p>
        </w:tc>
        <w:tc>
          <w:tcPr>
            <w:tcW w:type="dxa" w:w="24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18"/>
                <w:szCs w:val="18"/>
              </w:rPr>
              <w:t xml:space="preserve">14</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18"/>
                <w:szCs w:val="18"/>
              </w:rPr>
              <w:t xml:space="preserve">16</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18"/>
                <w:szCs w:val="18"/>
              </w:rPr>
              <w:t xml:space="preserve">11</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18"/>
                <w:szCs w:val="18"/>
              </w:rPr>
              <w:t xml:space="preserve">16</w:t>
            </w:r>
          </w:p>
        </w:tc>
      </w:tr>
    </w:tbl>
    <w:p>
      <w:pPr>
        <w:spacing w:after="200" w:before="40" w:line="240"/>
        <w:ind w:firstLine="0"/>
        <w:jc w:val="left"/>
      </w:pPr>
      <w:r>
        <w:rPr>
          <w:i/>
          <w:iCs/>
          <w:color w:val="7A8191"/>
          <w:sz w:val="18"/>
          <w:szCs w:val="18"/>
        </w:rPr>
        <w:t xml:space="preserve">Sursa: Date proprii de teren și laborator (simulate pentru exemplu).</w:t>
      </w:r>
    </w:p>
    <w:p>
      <w:pPr>
        <w:keepNext/>
        <w:spacing w:after="60" w:before="160" w:line="240"/>
        <w:ind w:firstLine="0"/>
        <w:jc w:val="center"/>
      </w:pPr>
      <w:r>
        <w:drawing>
          <wp:inline distT="0" distB="0" distL="0" distR="0">
            <wp:extent cx="5762625" cy="2924175"/>
            <wp:effectExtent t="0" r="0" b="0" l="0"/>
            <wp:docPr id="4" name="Figura 4" descr="Ponderea principalelor grupe de macronevertebrate pe stații (% din numărul de indivizi)" title="Ponderea principalelor grupe de macronevertebrate pe stații (% din numărul de indi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Ponderea principalelor grupe de macronevertebrate pe stații (% din numărul de indivizi)</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3.3. Diversitatea pe stații</w:t>
      </w:r>
    </w:p>
    <w:p>
      <w:r>
        <w:t xml:space="preserve">Pe proba cumulată, indicele Shannon variază între 1,78 la S3 și 2,47 la S2 (Tabelul 5, Figura 5). Echitabilitatea are aceeași tendință: 0,93 la S1 și 0,74 la S3.</w:t>
      </w:r>
    </w:p>
    <w:p>
      <w:pPr>
        <w:keepNext/>
        <w:spacing w:after="80" w:before="200" w:line="260"/>
        <w:ind w:firstLine="0"/>
        <w:jc w:val="left"/>
      </w:pPr>
      <w:r>
        <w:rPr>
          <w:b/>
          <w:bCs/>
          <w:sz w:val="22"/>
          <w:szCs w:val="22"/>
        </w:rPr>
        <w:t xml:space="preserve">Tabelul 5.</w:t>
      </w:r>
      <w:r>
        <w:rPr>
          <w:sz w:val="22"/>
          <w:szCs w:val="22"/>
        </w:rPr>
        <w:t xml:space="preserve"> Indicii de diversitate calculați pe proba cumulată a fiecărei stații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44"/>
        <w:gridCol w:w="1537"/>
        <w:gridCol w:w="1383"/>
        <w:gridCol w:w="1537"/>
        <w:gridCol w:w="1383"/>
        <w:gridCol w:w="1383"/>
      </w:tblGrid>
      <w:tr>
        <w:trPr>
          <w:tblHeader/>
        </w:trPr>
        <w:tc>
          <w:tcPr>
            <w:tcW w:type="dxa" w:w="18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Stația</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 (indivizi)</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 (taxoni)</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Shannon H′</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Pielou J′</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EPT (%)</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S1 – amonte</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385</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2,44</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0,93</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62,1</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S2 – amonte</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378</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2,47</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0,89</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52,9</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S3 – aval</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443</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1,78</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0,74</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8,6</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S4 – aval</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364</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2,33</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0,84</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31,3</w:t>
            </w:r>
          </w:p>
        </w:tc>
      </w:tr>
    </w:tbl>
    <w:p>
      <w:pPr>
        <w:keepNext/>
        <w:spacing w:after="0" w:before="60" w:line="240"/>
        <w:ind w:firstLine="0"/>
        <w:jc w:val="left"/>
      </w:pPr>
      <w:r>
        <w:rPr>
          <w:i/>
          <w:iCs/>
          <w:sz w:val="18"/>
          <w:szCs w:val="18"/>
        </w:rPr>
        <w:t xml:space="preserve">Notă.</w:t>
      </w:r>
      <w:r>
        <w:rPr>
          <w:sz w:val="18"/>
          <w:szCs w:val="18"/>
        </w:rPr>
        <w:t xml:space="preserve"> H′ calculat cu logaritm natural; J′ = H′ / ln S; EPT (%) = indivizi Ephemeroptera + Plecoptera + Trichoptera / N × 100.</w:t>
      </w:r>
    </w:p>
    <w:p>
      <w:pPr>
        <w:spacing w:after="200" w:before="40" w:line="240"/>
        <w:ind w:firstLine="0"/>
        <w:jc w:val="left"/>
      </w:pPr>
      <w:r>
        <w:rPr>
          <w:i/>
          <w:iCs/>
          <w:color w:val="7A8191"/>
          <w:sz w:val="18"/>
          <w:szCs w:val="18"/>
        </w:rPr>
        <w:t xml:space="preserve">Sursa: Calcul propriu pe baza Tabelului de abundență.</w:t>
      </w:r>
    </w:p>
    <w:p>
      <w:pPr>
        <w:keepNext/>
        <w:spacing w:after="60" w:before="160" w:line="240"/>
        <w:ind w:firstLine="0"/>
        <w:jc w:val="center"/>
      </w:pPr>
      <w:r>
        <w:drawing>
          <wp:inline distT="0" distB="0" distL="0" distR="0">
            <wp:extent cx="5305425" cy="2562225"/>
            <wp:effectExtent t="0" r="0" b="0" l="0"/>
            <wp:docPr id="5" name="Figura 5" descr="Indicele Shannon (H′) pe proba cumulată, pe stații" title="Indicele Shannon (H′) pe proba cumulată, pe staț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Indicele Shannon (H′) pe proba cumulată, pe stații</w:t>
      </w:r>
    </w:p>
    <w:p>
      <w:pPr>
        <w:spacing w:after="200" w:line="240"/>
        <w:ind w:firstLine="0"/>
        <w:jc w:val="center"/>
      </w:pPr>
      <w:r>
        <w:rPr>
          <w:i/>
          <w:iCs/>
          <w:color w:val="7A8191"/>
          <w:sz w:val="18"/>
          <w:szCs w:val="18"/>
        </w:rPr>
        <w:t xml:space="preserve">Sursa: Prelucrare proprie.</w:t>
      </w:r>
    </w:p>
    <w:p>
      <w:r>
        <w:t xml:space="preserve">Pe probele individuale, ANOVA arată diferențe semnificative între stații, </w:t>
      </w:r>
      <w:r>
        <w:rPr>
          <w:i/>
          <w:iCs/>
        </w:rPr>
        <w:t xml:space="preserve">F</w:t>
      </w:r>
      <w:r>
        <w:t xml:space="preserve">(3, 8) = 17,85, </w:t>
      </w:r>
      <w:r>
        <w:rPr>
          <w:i/>
          <w:iCs/>
        </w:rPr>
        <w:t xml:space="preserve">p</w:t>
      </w:r>
      <w:r>
        <w:t xml:space="preserve"> &lt; 0,001, η² = 0,87 (Tabelul 6, Figura 6). Testul Tukey arată că doar S3 diferă semnificativ de celelalte stații; diferențele dintre S1, S2 și S4 nu sunt semnificative (Tabelul 7).</w:t>
      </w:r>
    </w:p>
    <w:p>
      <w:pPr>
        <w:keepNext/>
        <w:spacing w:after="80" w:before="200" w:line="260"/>
        <w:ind w:firstLine="0"/>
        <w:jc w:val="left"/>
      </w:pPr>
      <w:r>
        <w:rPr>
          <w:b/>
          <w:bCs/>
          <w:sz w:val="22"/>
          <w:szCs w:val="22"/>
        </w:rPr>
        <w:t xml:space="preserve">Tabelul 6.</w:t>
      </w:r>
      <w:r>
        <w:rPr>
          <w:sz w:val="22"/>
          <w:szCs w:val="22"/>
        </w:rPr>
        <w:t xml:space="preserve"> Indicele Shannon pe probe individuale, în funcție de stație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Stația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S1 – amonte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S2 – amonte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0,17</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S3 – aval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S4 – aval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0,08</w:t>
            </w:r>
          </w:p>
        </w:tc>
      </w:tr>
    </w:tbl>
    <w:p>
      <w:pPr>
        <w:keepNext/>
        <w:spacing w:after="0" w:before="60" w:line="240"/>
        <w:ind w:firstLine="0"/>
        <w:jc w:val="left"/>
      </w:pPr>
      <w:r>
        <w:rPr>
          <w:i/>
          <w:iCs/>
          <w:sz w:val="18"/>
          <w:szCs w:val="18"/>
        </w:rPr>
        <w:t xml:space="preserve">Notă.</w:t>
      </w:r>
      <w:r>
        <w:rPr>
          <w:sz w:val="18"/>
          <w:szCs w:val="18"/>
        </w:rPr>
        <w:t xml:space="preserve"> F(3, 8) = 17,85, p &lt; 0,001, η² = 0,87</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743200"/>
            <wp:effectExtent t="0" r="0" b="0" l="0"/>
            <wp:docPr id="6" name="Figura 6" descr="Distribuția indicelui Shannon pe probele individuale (3 probe/stație)" title="Distribuția indicelui Shannon pe probele individuale (3 probe/staț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Distribuția indicelui Shannon pe probele individuale (3 probe/stație)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7.</w:t>
      </w:r>
      <w:r>
        <w:rPr>
          <w:sz w:val="22"/>
          <w:szCs w:val="22"/>
        </w:rPr>
        <w:t xml:space="preserve"> Comparații perechi pentru indicele Shannon (testul Tukey HSD)</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87"/>
        <w:gridCol w:w="2015"/>
        <w:gridCol w:w="1343"/>
        <w:gridCol w:w="3023"/>
      </w:tblGrid>
      <w:tr>
        <w:trPr>
          <w:tblHeader/>
        </w:trPr>
        <w:tc>
          <w:tcPr>
            <w:tcW w:type="dxa" w:w="26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Perechea de stații</w:t>
            </w:r>
          </w:p>
        </w:tc>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Diferența mediilor</w:t>
            </w:r>
          </w:p>
        </w:tc>
        <w:tc>
          <w:tcPr>
            <w:tcW w:type="dxa" w:w="13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S1 – S2</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−0,12</w:t>
            </w:r>
          </w:p>
        </w:tc>
        <w:tc>
          <w:tcPr>
            <w:tcW w:type="dxa" w:w="13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0,601</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Nesemnificativă</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S1 – S3</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0,54</w:t>
            </w:r>
          </w:p>
        </w:tc>
        <w:tc>
          <w:tcPr>
            <w:tcW w:type="dxa" w:w="13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0,002</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S1 – S4</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13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0,716</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Nesemnificativă</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S2 – S3</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0,66</w:t>
            </w:r>
          </w:p>
        </w:tc>
        <w:tc>
          <w:tcPr>
            <w:tcW w:type="dxa" w:w="13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0,001</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S2 – S4</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0,23</w:t>
            </w:r>
          </w:p>
        </w:tc>
        <w:tc>
          <w:tcPr>
            <w:tcW w:type="dxa" w:w="13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0,166</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Nesemnificativă</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S3 – S4</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−0,44</w:t>
            </w:r>
          </w:p>
        </w:tc>
        <w:tc>
          <w:tcPr>
            <w:tcW w:type="dxa" w:w="13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0,008</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bl>
    <w:p>
      <w:pPr>
        <w:keepNext/>
        <w:spacing w:after="0" w:before="60" w:line="240"/>
        <w:ind w:firstLine="0"/>
        <w:jc w:val="left"/>
      </w:pPr>
      <w:r>
        <w:rPr>
          <w:i/>
          <w:iCs/>
          <w:sz w:val="18"/>
          <w:szCs w:val="18"/>
        </w:rPr>
        <w:t xml:space="preserve">Notă.</w:t>
      </w:r>
      <w:r>
        <w:rPr>
          <w:sz w:val="18"/>
          <w:szCs w:val="18"/>
        </w:rPr>
        <w:t xml:space="preserve"> Diferența = media primei stații − media celei de-a doua; α = 0,05.</w:t>
      </w:r>
    </w:p>
    <w:p>
      <w:pPr>
        <w:spacing w:after="200" w:before="40" w:line="240"/>
        <w:ind w:firstLine="0"/>
        <w:jc w:val="left"/>
      </w:pPr>
      <w:commentRangeStart w:id="12"/>
      <w:r>
        <w:rPr>
          <w:i/>
          <w:iCs/>
          <w:color w:val="7A8191"/>
          <w:sz w:val="18"/>
          <w:szCs w:val="18"/>
        </w:rPr>
        <w:t xml:space="preserve">Sursa: Prelucrare proprie (testul Tukey HSD), pe datele simulate.</w:t>
      </w:r>
      <w:commentRangeEnd w:id="12"/>
      <w:r>
        <w:commentReference w:id="12"/>
      </w:r>
    </w:p>
    <w:p>
      <w:pPr>
        <w:pStyle w:val="Heading2"/>
        <w:keepNext/>
      </w:pPr>
      <w:r>
        <w:t xml:space="preserve">3.4. Ponderea taxonilor sensibili (EPT)</w:t>
      </w:r>
    </w:p>
    <w:p>
      <w:r>
        <w:t xml:space="preserve">Ponderea EPT scade de la 62,87% la S1 la 5,07% la S3 și revine parțial la 34,67% la S4, </w:t>
      </w:r>
      <w:r>
        <w:rPr>
          <w:i/>
          <w:iCs/>
        </w:rPr>
        <w:t xml:space="preserve">F</w:t>
      </w:r>
      <w:r>
        <w:t xml:space="preserve">(3, 8) = 175,15, </w:t>
      </w:r>
      <w:r>
        <w:rPr>
          <w:i/>
          <w:iCs/>
        </w:rPr>
        <w:t xml:space="preserve">p</w:t>
      </w:r>
      <w:r>
        <w:t xml:space="preserve"> &lt; 0,001 (Tabelul 8, Figura 7). Spre deosebire de indicele Shannon, ponderea EPT diferă semnificativ și între cele două stații din amonte (testul Tukey, </w:t>
      </w:r>
      <w:r>
        <w:rPr>
          <w:i/>
          <w:iCs/>
        </w:rPr>
        <w:t xml:space="preserve">p</w:t>
      </w:r>
      <w:r>
        <w:t xml:space="preserve"> = 0,011).</w:t>
      </w:r>
    </w:p>
    <w:p>
      <w:pPr>
        <w:keepNext/>
        <w:spacing w:after="80" w:before="200" w:line="260"/>
        <w:ind w:firstLine="0"/>
        <w:jc w:val="left"/>
      </w:pPr>
      <w:r>
        <w:rPr>
          <w:b/>
          <w:bCs/>
          <w:sz w:val="22"/>
          <w:szCs w:val="22"/>
        </w:rPr>
        <w:t xml:space="preserve">Tabelul 8.</w:t>
      </w:r>
      <w:r>
        <w:rPr>
          <w:sz w:val="22"/>
          <w:szCs w:val="22"/>
        </w:rPr>
        <w:t xml:space="preserve"> Ponderea taxonilor EPT (%) pe probe individuale, în funcție de stație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Stația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S1 – amonte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62,87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S2 – amonte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51,33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2,21</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S3 – aval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3,37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S4 – aval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34,67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2,78</w:t>
            </w:r>
          </w:p>
        </w:tc>
      </w:tr>
    </w:tbl>
    <w:p>
      <w:pPr>
        <w:keepNext/>
        <w:spacing w:after="0" w:before="60" w:line="240"/>
        <w:ind w:firstLine="0"/>
        <w:jc w:val="left"/>
      </w:pPr>
      <w:r>
        <w:rPr>
          <w:i/>
          <w:iCs/>
          <w:sz w:val="18"/>
          <w:szCs w:val="18"/>
        </w:rPr>
        <w:t xml:space="preserve">Notă.</w:t>
      </w:r>
      <w:r>
        <w:rPr>
          <w:sz w:val="18"/>
          <w:szCs w:val="18"/>
        </w:rPr>
        <w:t xml:space="preserve"> F(3, 8) = 175,15, p &lt; 0,001, η² = 0,99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562225"/>
            <wp:effectExtent t="0" r="0" b="0" l="0"/>
            <wp:docPr id="7" name="Figura 7" descr="Ponderea medie a taxonilor EPT pe stații (probe individuale)" title="Ponderea medie a taxonilor EPT pe stații (probe individu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Ponderea medie a taxonilor EPT pe stații (probe individuale)</w:t>
      </w:r>
    </w:p>
    <w:p>
      <w:pPr>
        <w:spacing w:after="200" w:line="240"/>
        <w:ind w:firstLine="0"/>
        <w:jc w:val="center"/>
      </w:pPr>
      <w:r>
        <w:rPr>
          <w:i/>
          <w:iCs/>
          <w:color w:val="7A8191"/>
          <w:sz w:val="18"/>
          <w:szCs w:val="18"/>
        </w:rPr>
        <w:t xml:space="preserve">Sursa: Prelucrare proprie.</w:t>
      </w:r>
    </w:p>
    <w:p>
      <w:pPr>
        <w:pStyle w:val="Heading2"/>
        <w:keepNext/>
      </w:pPr>
      <w:r>
        <w:t xml:space="preserve">3.5. Interpretarea rezultatelor</w:t>
      </w:r>
    </w:p>
    <w:p>
      <w:r>
        <w:t xml:space="preserve">Ipotezele I1 și I2 se confirmă: imediat în aval de evacuarea apelor uzate diversitatea și ponderea taxonilor sensibili scad puternic, în paralel cu scăderea oxigenului și creșterea amoniului. Tabloul corespunde descrierilor din literatură pentru încărcarea organică: dispar plecopterele și heptageniidele, iar oligochetele, chironomidele și Asellidae devin dominante (Mihai și Dobre, 2021).</w:t>
      </w:r>
    </w:p>
    <w:p>
      <w:r>
        <w:t xml:space="preserve">Ipoteza I3 se confirmă parțial. La S4 indicele Shannon nu mai diferă semnificativ de cel din amonte, dar ponderea EPT rămâne la jumătate față de S1. </w:t>
      </w:r>
      <w:r>
        <w:rPr>
          <w:b/>
          <w:bCs/>
        </w:rPr>
        <w:t xml:space="preserve">În opinia noastră</w:t>
      </w:r>
      <w:r>
        <w:t xml:space="preserve">, ponderea EPT este, pentru acest râu, un indicator mai sensibil decât indicele Shannon: indicele Shannon nu separă S1 de S2, deși S2 are deja mai puțini taxoni sensibili și primii taxoni tolerați (Asellidae, Physidae). Recomandăm ca monitorizarea locală să urmărească ambii indici, nu doar diversitatea globală.</w:t>
      </w:r>
    </w:p>
    <w:p>
      <w:r>
        <w:rPr>
          <w:b/>
          <w:bCs/>
        </w:rPr>
        <w:t xml:space="preserve">Limite.</w:t>
      </w:r>
      <w:r>
        <w:t xml:space="preserve"> Studiul se bazează pe o singură campanie de primăvară, cu 3 probe pe stație, iar determinarea la nivel de familie ascunde diferențe de toleranță dintre specii. O a doua campanie, la ape mici de vară, ar arăta dacă efectul se accentuează.</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În cele patru stații au fost identificați 16 taxoni de macronevertebrate (1.570 de indivizi).</w:t>
      </w:r>
    </w:p>
    <w:p>
      <w:pPr>
        <w:tabs>
          <w:tab w:val="left" w:pos="709"/>
        </w:tabs>
        <w:spacing w:after="60"/>
        <w:ind w:left="709" w:hanging="357" w:firstLine="0"/>
        <w:jc w:val="left"/>
      </w:pPr>
      <w:r>
        <w:t xml:space="preserve">•	</w:t>
      </w:r>
      <w:r>
        <w:t xml:space="preserve">Diversitatea este semnificativ mai mică imediat în aval de localitate (S3) decât în amonte (I1 confirmată).</w:t>
      </w:r>
    </w:p>
    <w:p>
      <w:pPr>
        <w:tabs>
          <w:tab w:val="left" w:pos="709"/>
        </w:tabs>
        <w:spacing w:after="60"/>
        <w:ind w:left="709" w:hanging="357" w:firstLine="0"/>
        <w:jc w:val="left"/>
      </w:pPr>
      <w:r>
        <w:t xml:space="preserve">•	</w:t>
      </w:r>
      <w:r>
        <w:t xml:space="preserve">Ponderea taxonilor EPT scade de la peste 50% în amonte la sub 10% la S3 (I2 confirmată).</w:t>
      </w:r>
    </w:p>
    <w:p>
      <w:pPr>
        <w:tabs>
          <w:tab w:val="left" w:pos="709"/>
        </w:tabs>
        <w:spacing w:after="60"/>
        <w:ind w:left="709" w:hanging="357" w:firstLine="0"/>
        <w:jc w:val="left"/>
      </w:pPr>
      <w:r>
        <w:t xml:space="preserve">•	</w:t>
      </w:r>
      <w:r>
        <w:t xml:space="preserve">La 3 km în aval comunitatea se reface doar parțial: diversitatea revine, dar taxonii sensibili rămân puțini (I3 confirmată parțial).</w:t>
      </w:r>
    </w:p>
    <w:p>
      <w:r>
        <w:rPr>
          <w:b/>
          <w:bCs/>
        </w:rPr>
        <w:t xml:space="preserve">Relevanță practică:</w:t>
      </w:r>
      <w:r>
        <w:t xml:space="preserve"> rezultatele susțin necesitatea epurării apelor uzate ale localității și arată că ponderea EPT poate fi un indicator simplu pentru monitorizarea locală. </w:t>
      </w:r>
      <w:r>
        <w:rPr>
          <w:b/>
          <w:bCs/>
        </w:rPr>
        <w:t xml:space="preserve">Direcții viitoare:</w:t>
      </w:r>
      <w:r>
        <w:t xml:space="preserve"> campanii sezoniere și determinarea la nivel de gen sau specie.</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Directiva 2000/60/CE a Parlamentului European și a Consiliului din 23 octombrie 2000 de stabilire a unui cadru de politică comunitară în domeniul apei. </w:t>
      </w:r>
      <w:r>
        <w:rPr>
          <w:i/>
          <w:iCs/>
        </w:rPr>
        <w:t xml:space="preserve">Jurnalul Oficial al Comunităților Europene, L 327</w:t>
      </w:r>
      <w:r>
        <w:t xml:space="preserve">, 1–73.</w:t>
      </w:r>
    </w:p>
    <w:p>
      <w:pPr>
        <w:spacing w:after="100" w:line="300"/>
        <w:ind w:left="709" w:hanging="709" w:firstLine="0"/>
        <w:jc w:val="left"/>
      </w:pPr>
      <w:r>
        <w:t xml:space="preserve">Mihai, A., &amp; Dobre, C. (2021). Răspunsul comunităților de macronevertebrate la evacuările de ape uzate din râurile mici. </w:t>
      </w:r>
      <w:r>
        <w:rPr>
          <w:i/>
          <w:iCs/>
        </w:rPr>
        <w:t xml:space="preserve">Studii de Ecologie Acvatică, 9</w:t>
      </w:r>
      <w:r>
        <w:t xml:space="preserve">(2), 41–58.</w:t>
      </w:r>
    </w:p>
    <w:p>
      <w:pPr>
        <w:spacing w:after="100" w:line="300"/>
        <w:ind w:left="709" w:hanging="709" w:firstLine="0"/>
        <w:jc w:val="left"/>
      </w:pPr>
      <w:r>
        <w:t xml:space="preserve">Pielou, E. C. (1966). The measurement of diversity in different types of biological collections. </w:t>
      </w:r>
      <w:r>
        <w:rPr>
          <w:i/>
          <w:iCs/>
        </w:rPr>
        <w:t xml:space="preserve">Journal of Theoretical Biology, 13</w:t>
      </w:r>
      <w:r>
        <w:t xml:space="preserve">, 131–144.</w:t>
      </w:r>
    </w:p>
    <w:p>
      <w:pPr>
        <w:spacing w:after="100" w:line="300"/>
        <w:ind w:left="709" w:hanging="709" w:firstLine="0"/>
        <w:jc w:val="left"/>
      </w:pPr>
      <w:r>
        <w:t xml:space="preserve">Popa, L. (2019). </w:t>
      </w:r>
      <w:r>
        <w:rPr>
          <w:i/>
          <w:iCs/>
        </w:rPr>
        <w:t xml:space="preserve">Determinatorul macronevertebratelor de apă dulce</w:t>
      </w:r>
      <w:r>
        <w:t xml:space="preserve">. Editura Exemplu.</w:t>
      </w:r>
    </w:p>
    <w:p>
      <w:pPr>
        <w:spacing w:after="100" w:line="300"/>
        <w:ind w:left="709" w:hanging="709" w:firstLine="0"/>
        <w:jc w:val="left"/>
      </w:pPr>
      <w:r>
        <w:t xml:space="preserve">Shannon, C. E. (1948). A mathematical theory of communication. </w:t>
      </w:r>
      <w:r>
        <w:rPr>
          <w:i/>
          <w:iCs/>
        </w:rPr>
        <w:t xml:space="preserve">Bell System Technical Journal, 27</w:t>
      </w:r>
      <w:r>
        <w:t xml:space="preserve">(3), 379–423.</w:t>
      </w:r>
    </w:p>
    <w:p>
      <w:pPr>
        <w:spacing w:after="100" w:line="300"/>
        <w:ind w:left="709" w:hanging="709" w:firstLine="0"/>
        <w:jc w:val="left"/>
      </w:pPr>
      <w:r>
        <w:t xml:space="preserve">Stan, R., Ilie, M., &amp; Toma, D. (2022). Indici de diversitate și indici biotici în evaluarea râurilor de deal. </w:t>
      </w:r>
      <w:r>
        <w:rPr>
          <w:i/>
          <w:iCs/>
        </w:rPr>
        <w:t xml:space="preserve">Revista de Biologie Aplicată, 14</w:t>
      </w:r>
      <w:r>
        <w:t xml:space="preserve">(1), 15–30.</w:t>
      </w:r>
    </w:p>
    <w:p>
      <w:pPr>
        <w:pStyle w:val="Heading1"/>
        <w:pageBreakBefore/>
      </w:pPr>
      <w:commentRangeStart w:id="15"/>
      <w:r>
        <w:t xml:space="preserve">Anexa 1. Exemplu de calcul al indicelui Shannon</w:t>
      </w:r>
      <w:commentRangeEnd w:id="15"/>
      <w:r>
        <w:commentReference w:id="15"/>
      </w:r>
    </w:p>
    <w:p>
      <w:r>
        <w:t xml:space="preserve">Tabelul 9 prezintă calculul pas cu pas pentru stația S1, pe baza abundențelor din Tabelul 4. Taxonii absenți (nᵢ = 0) nu intră în calcul.</w:t>
      </w:r>
    </w:p>
    <w:p>
      <w:pPr>
        <w:keepNext/>
        <w:spacing w:after="80" w:before="200" w:line="260"/>
        <w:ind w:firstLine="0"/>
        <w:jc w:val="left"/>
      </w:pPr>
      <w:r>
        <w:rPr>
          <w:b/>
          <w:bCs/>
          <w:sz w:val="22"/>
          <w:szCs w:val="22"/>
        </w:rPr>
        <w:t xml:space="preserve">Tabelul 9.</w:t>
      </w:r>
      <w:r>
        <w:rPr>
          <w:sz w:val="22"/>
          <w:szCs w:val="22"/>
        </w:rPr>
        <w:t xml:space="preserve"> Calculul indicelui Shannon pentru stația S1 (proba cumulată)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91"/>
        <w:gridCol w:w="1046"/>
        <w:gridCol w:w="1744"/>
        <w:gridCol w:w="1744"/>
        <w:gridCol w:w="1744"/>
      </w:tblGrid>
      <w:tr>
        <w:trPr>
          <w:tblHeader/>
        </w:trPr>
        <w:tc>
          <w:tcPr>
            <w:tcW w:type="dxa" w:w="27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Taxon</w:t>
            </w:r>
          </w:p>
        </w:tc>
        <w:tc>
          <w:tcPr>
            <w:tcW w:type="dxa" w:w="10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nᵢ</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pᵢ = nᵢ / N</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ln pᵢ</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pᵢ · ln pᵢ</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Baetidae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62</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0,1610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−1,8261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−0,2941</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Heptageniidae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48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0,1247</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−2,0820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−0,2596</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Ephemerellidae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0,0545</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−2,9087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−0,1587</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Perlidae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14</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0,0364</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−3,3142</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−0,1205</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Leuctridae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26</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0,0675</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−2,6951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−0,1820</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Hydropsychidae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40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0,1039</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−2,2644</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−0,2353</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Rhyacophilidae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0,0442</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−3,1200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−0,1378</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Limnephilidae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11</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0,0286</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−3,5553</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−0,1016</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Elmidae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23</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0,0597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−2,8177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−0,1683</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Simuliidae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0,0779</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−2,5520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−0,1989</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Chironomidae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38</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0,0987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−2,3157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−0,2286</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Gammaridae</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45</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0,1169</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−2,1466</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−0,2509</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Erpobdellidae</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0,0052</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−5,2601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−0,0273</w:t>
            </w:r>
          </w:p>
        </w:tc>
      </w:tr>
      <w:tr>
        <w:trPr>
          <w:cantSplit/>
        </w:trPr>
        <w:tc>
          <w:tcPr>
            <w:tcW w:type="dxa" w:w="27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Oligochaeta</w:t>
            </w:r>
          </w:p>
        </w:tc>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0,0208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−3,8738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−0,0805</w:t>
            </w:r>
          </w:p>
        </w:tc>
      </w:tr>
      <w:tr>
        <w:trPr>
          <w:cantSplit/>
        </w:trPr>
        <w:tc>
          <w:tcPr>
            <w:tcW w:type="dxa" w:w="27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Total</w:t>
            </w:r>
          </w:p>
        </w:tc>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385</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1,0000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−2,4441</w:t>
            </w:r>
          </w:p>
        </w:tc>
      </w:tr>
    </w:tbl>
    <w:p>
      <w:pPr>
        <w:keepNext/>
        <w:spacing w:after="0" w:before="60" w:line="240"/>
        <w:ind w:firstLine="0"/>
        <w:jc w:val="left"/>
      </w:pPr>
      <w:r>
        <w:rPr>
          <w:i/>
          <w:iCs/>
          <w:sz w:val="18"/>
          <w:szCs w:val="18"/>
        </w:rPr>
        <w:t xml:space="preserve">Notă.</w:t>
      </w:r>
      <w:r>
        <w:rPr>
          <w:sz w:val="18"/>
          <w:szCs w:val="18"/>
        </w:rPr>
        <w:t xml:space="preserve"> H′ = −Σ pᵢ · ln pᵢ = 2,444 ≈ 2,44; J′ = 2,444 / ln 14 = 2,444 / 2,639 = 0,93.</w:t>
      </w:r>
    </w:p>
    <w:p>
      <w:pPr>
        <w:spacing w:after="200" w:before="40" w:line="240"/>
        <w:ind w:firstLine="0"/>
        <w:jc w:val="left"/>
      </w:pPr>
      <w:r>
        <w:rPr>
          <w:i/>
          <w:iCs/>
          <w:color w:val="7A8191"/>
          <w:sz w:val="18"/>
          <w:szCs w:val="18"/>
        </w:rPr>
        <w:t xml:space="preserve">Sursa: Calcul propriu (date simulate).</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Biologie.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luat probe din rau si am gasit foarte multe insecte si viermi. In aval sunt mai multe animale, dar indicele shannon iese mai mic, ceea ce dovedeste clar ca localitatea polueaza raul. Cele mai multe erau chironomide si viermi, care sunt tipici pentru apa murdara.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stația S3, situată la 0,3 km în aval de evacuarea apelor uzate, au fost colectați 443 de indivizi, cel mai mare număr dintre cele patru stații, însă indicele Shannon a avut cea mai mică valoare (H′ = 1,78; Tabelul 5). Comunitatea a fost dominată de Chironomidae (37,0%) și de taxoni tolerați la încărcarea organică, precum Oligochaeta și Asellidae (Figura 4). Această structură, împreună cu scăderea oxigenului dizolvat, sugerează un impact al apelor uzate ale localității (Mihai și Dobre, 2021).</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și am scris corect denumirile: indicele Shannon, Chironomidae.</w:t>
      </w:r>
    </w:p>
    <w:p>
      <w:pPr>
        <w:tabs>
          <w:tab w:val="left" w:pos="709"/>
        </w:tabs>
        <w:spacing w:after="60"/>
        <w:ind w:left="709" w:hanging="357" w:firstLine="0"/>
        <w:jc w:val="left"/>
      </w:pPr>
      <w:r>
        <w:t xml:space="preserve">2.	</w:t>
      </w:r>
      <w:r>
        <w:t xml:space="preserve">„Foarte multe insecte și viermi” a devenit date precise: stația, numărul de indivizi, valoarea H′ și trimiterea la tabel și figură.</w:t>
      </w:r>
    </w:p>
    <w:p>
      <w:pPr>
        <w:tabs>
          <w:tab w:val="left" w:pos="709"/>
        </w:tabs>
        <w:spacing w:after="60"/>
        <w:ind w:left="709" w:hanging="357" w:firstLine="0"/>
        <w:jc w:val="left"/>
      </w:pPr>
      <w:r>
        <w:t xml:space="preserve">3.	</w:t>
      </w:r>
      <w:r>
        <w:t xml:space="preserve">Am separat abundența (număr de indivizi) de diversitate, ca să nu pară o contradicție.</w:t>
      </w:r>
    </w:p>
    <w:p>
      <w:pPr>
        <w:tabs>
          <w:tab w:val="left" w:pos="709"/>
        </w:tabs>
        <w:spacing w:after="60"/>
        <w:ind w:left="709" w:hanging="357" w:firstLine="0"/>
        <w:jc w:val="left"/>
      </w:pPr>
      <w:r>
        <w:t xml:space="preserve">4.	</w:t>
      </w:r>
      <w:r>
        <w:t xml:space="preserve">„Dovedește clar” a devenit „sugerează”: o singură campanie de teren nu demonstrează cauza.</w:t>
      </w:r>
    </w:p>
    <w:p>
      <w:pPr>
        <w:tabs>
          <w:tab w:val="left" w:pos="709"/>
        </w:tabs>
        <w:spacing w:after="60"/>
        <w:ind w:left="709" w:hanging="357" w:firstLine="0"/>
        <w:jc w:val="left"/>
      </w:pPr>
      <w:r>
        <w:t xml:space="preserve">5.	</w:t>
      </w:r>
      <w:r>
        <w:t xml:space="preserve">„Viermi” și „apă murdară” au fost înlocuite cu termeni de specialitate și o sursă citată.</w:t>
      </w:r>
    </w:p>
    <w:p>
      <w:pPr>
        <w:spacing w:before="360"/>
        <w:ind w:firstLine="0"/>
        <w:jc w:val="left"/>
      </w:pPr>
      <w:r>
        <w:rPr>
          <w:b/>
          <w:bCs/>
        </w:rPr>
        <w:t xml:space="preserve">Vrei aceeași corectare pentru lucrarea ta? </w:t>
      </w:r>
      <w:hyperlink w:history="1" r:id="rIdqqz6ahfd5v9ytlaufarcl">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y8jqkqkxqpcayyjhcct4u">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5cmpidwm5s6cvbddisd8l">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problema (poluarea organică a râurilor mici), stadiul cunoașterii pe scurt, scopul, obiectivele și ipotezele. La licență are 2–3 pagini; aici este prescurtată.</w:t>
      </w:r>
    </w:p>
    <w:p>
      <w:r>
        <w:rPr>
          <w:rFonts w:ascii="Arial" w:cs="Arial" w:eastAsia="Arial" w:hAnsi="Arial"/>
          <w:b/>
          <w:bCs/>
          <w:sz w:val="16"/>
          <w:szCs w:val="16"/>
        </w:rPr>
        <w:t xml:space="preserve">Ghid: </w:t>
      </w:r>
      <w:hyperlink w:history="1" r:id="rIdfa2xeg6gt6sogqgnw066c">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ipoteze pe care le poți verifica cu datele tale: „diversitatea scade în aval” se testează cu indicele Shannon și un test statistic; „râul este poluat” nu se poate testa direct.</w:t>
      </w:r>
    </w:p>
    <w:p>
      <w:r>
        <w:rPr>
          <w:rFonts w:ascii="Arial" w:cs="Arial" w:eastAsia="Arial" w:hAnsi="Arial"/>
          <w:b/>
          <w:bCs/>
          <w:sz w:val="16"/>
          <w:szCs w:val="16"/>
        </w:rPr>
        <w:t xml:space="preserve">Ghid: </w:t>
      </w:r>
      <w:hyperlink w:history="1" r:id="rId42hfds1mabnneoq4a6d6w">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ce îți trebuie pentru interpretare: ce organisme studiezi, de ce indică starea apei și ce indici folosești. Fiecare afirmație are o sursă citată (Autor, an).</w:t>
      </w:r>
    </w:p>
    <w:p>
      <w:r>
        <w:rPr>
          <w:rFonts w:ascii="Arial" w:cs="Arial" w:eastAsia="Arial" w:hAnsi="Arial"/>
          <w:b/>
          <w:bCs/>
          <w:sz w:val="16"/>
          <w:szCs w:val="16"/>
        </w:rPr>
        <w:t xml:space="preserve">Ghid: </w:t>
      </w:r>
      <w:hyperlink w:history="1" r:id="rIdpkhcllqsh7_n1dzscgfdk">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definițiile din manuale și nu înșira autorii unul după altul. Spune ce indică fiecare indice și de ce l-ai ales pentru întrebarea ta.</w:t>
      </w:r>
    </w:p>
  </w:comment>
  <w:comment w:id="8" w:initials="LR" w:author="Rolul secțiunii" w:date="2026-05-20T10:00:00.000Z">
    <w:p>
      <w:r>
        <w:rPr>
          <w:sz w:val="18"/>
          <w:szCs w:val="18"/>
        </w:rPr>
        <w:t xml:space="preserve">Material și metodă trebuie să permită repetarea studiului: unde, când, cum ai prelevat, cum ai determinat organismele și ce calcule și teste ai folosit.</w:t>
      </w:r>
    </w:p>
  </w:comment>
  <w:comment w:id="9" w:initials="LR" w:author="Sfat" w:date="2026-05-20T10:00:00.000Z">
    <w:p>
      <w:r>
        <w:rPr>
          <w:sz w:val="18"/>
          <w:szCs w:val="18"/>
        </w:rPr>
        <w:t xml:space="preserve">Descrie metoda atât de concret încât un coleg să o poată repeta: dimensiunea ochiurilor plasei, durata, numărul de probe, conservantul, nivelul de determinare și cheile folosite. Dacă stația se află într-o arie protejată, menționează și acordul administratorului.</w:t>
      </w:r>
    </w:p>
  </w:comment>
  <w:comment w:id="10" w:initials="LR" w:author="Rolul secțiunii" w:date="2026-05-20T10:00:00.000Z">
    <w:p>
      <w:r>
        <w:rPr>
          <w:sz w:val="18"/>
          <w:szCs w:val="18"/>
        </w:rPr>
        <w:t xml:space="preserve">Aceasta este contribuția ta personală: datele proprii, prelucrate și interpretate. Prezinți întâi rezultatele (tabele, figuri, teste), apoi le compari cu literatura și spui ce înseamnă. La unele facultăți Rezultatele și Discuțiile sunt capitole separate; verifică ghidul.</w:t>
      </w:r>
    </w:p>
  </w:comment>
  <w:comment w:id="11" w:initials="LR" w:author="Greșeală frecventă" w:date="2026-05-20T10:00:00.000Z">
    <w:p>
      <w:r>
        <w:rPr>
          <w:sz w:val="18"/>
          <w:szCs w:val="18"/>
        </w:rPr>
        <w:t xml:space="preserve">Abundența nu este același lucru cu diversitatea. Stația S3 are cei mai mulți indivizi (443), dar cea mai mică diversitate: câțiva taxoni tolerați se înmulțesc când dispar competitorii sensibili.</w:t>
      </w:r>
    </w:p>
  </w:comment>
  <w:comment w:id="12" w:initials="LR" w:author="Sfat" w:date="2026-05-20T10:00:00.000Z">
    <w:p>
      <w:r>
        <w:rPr>
          <w:sz w:val="18"/>
          <w:szCs w:val="18"/>
        </w:rPr>
        <w:t xml:space="preserve">Valorile H′ pe probe individuale (Tabelul 6) sunt mai mici decât cele pe proba cumulată (Tabelul 5), pentru că o singură probă conține mai puțini taxoni. Spune clar pe ce ai calculat fiecare valoare, ca să nu pară o contradicție.</w:t>
      </w:r>
    </w:p>
  </w:comment>
  <w:comment w:id="13" w:initials="LR" w:author="Rolul secțiunii" w:date="2026-05-20T10:00:00.000Z">
    <w:p>
      <w:r>
        <w:rPr>
          <w:sz w:val="18"/>
          <w:szCs w:val="18"/>
        </w:rPr>
        <w:t xml:space="preserve">Concluziile răspund pe scurt la fiecare obiectiv și ipoteză, fără date noi. Încheie cu relevanța practică și cu direcții de cercetare.</w:t>
      </w:r>
    </w:p>
    <w:p>
      <w:r>
        <w:rPr>
          <w:rFonts w:ascii="Arial" w:cs="Arial" w:eastAsia="Arial" w:hAnsi="Arial"/>
          <w:b/>
          <w:bCs/>
          <w:sz w:val="16"/>
          <w:szCs w:val="16"/>
        </w:rPr>
        <w:t xml:space="preserve">Ghid: </w:t>
      </w:r>
      <w:hyperlink w:history="1" r:id="rIdqqyn4bz_qxm49ynmu_cr0">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Bibliografia este în stil APA 7, ordonată alfabetic. Lucrările Shannon (1948) și Pielou (1966) și Directiva 2000/60/CE sunt reale; celelalte surse sunt generice, inventate pentru acest exemplu. În lucrarea ta citezi doar surse reale, pe care le-ai consultat.</w:t>
      </w:r>
    </w:p>
    <w:p>
      <w:r>
        <w:rPr>
          <w:rFonts w:ascii="Arial" w:cs="Arial" w:eastAsia="Arial" w:hAnsi="Arial"/>
          <w:b/>
          <w:bCs/>
          <w:sz w:val="16"/>
          <w:szCs w:val="16"/>
        </w:rPr>
        <w:t xml:space="preserve">Ghid: </w:t>
      </w:r>
      <w:hyperlink w:history="1" r:id="rIdrifwq_ukaytl5rhufygsg">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anexe pui datele brute, fișele de teren și calculele prea lungi pentru text. Un calcul complet pentru o stație arată comisiei că știi de unde vin cifrele din tabele.</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xujjry1xprwxmkho9oquq">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dhowrme_d79up34y5-6rm">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ckwsk8dz3jg61ja2nx12">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y8jqkqkxqpcayyjhcct4u" Type="http://schemas.openxmlformats.org/officeDocument/2006/relationships/hyperlink" Target="https://licenta-disertatie-romania.com/blog/cuprins-lucrare-licenta/" TargetMode="External"/><Relationship Id="rId5cmpidwm5s6cvbddisd8l" Type="http://schemas.openxmlformats.org/officeDocument/2006/relationships/hyperlink" Target="https://licenta-disertatie-romania.com/blog/formatare-lucrare-licenta/" TargetMode="External"/><Relationship Id="rIdfa2xeg6gt6sogqgnw066c" Type="http://schemas.openxmlformats.org/officeDocument/2006/relationships/hyperlink" Target="https://licenta-disertatie-romania.com/blog/introducere-lucrare-licenta/" TargetMode="External"/><Relationship Id="rId42hfds1mabnneoq4a6d6w" Type="http://schemas.openxmlformats.org/officeDocument/2006/relationships/hyperlink" Target="https://licenta-disertatie-romania.com/blog/ipoteze-obiective-lucrare-licenta/" TargetMode="External"/><Relationship Id="rIdpkhcllqsh7_n1dzscgfdk" Type="http://schemas.openxmlformats.org/officeDocument/2006/relationships/hyperlink" Target="https://licenta-disertatie-romania.com/blog/structura-lucrare-licenta/" TargetMode="External"/><Relationship Id="rIdqqyn4bz_qxm49ynmu_cr0" Type="http://schemas.openxmlformats.org/officeDocument/2006/relationships/hyperlink" Target="https://licenta-disertatie-romania.com/blog/concluzii-lucrare-licenta/" TargetMode="External"/><Relationship Id="rIdrifwq_ukaytl5rhufygsg" Type="http://schemas.openxmlformats.org/officeDocument/2006/relationships/hyperlink" Target="https://licenta-disertatie-romania.com/resurse/generator-citare-apa/" TargetMode="External"/><Relationship Id="rIdxujjry1xprwxmkho9oquq"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qqz6ahfd5v9ytlaufarcl" Type="http://schemas.openxmlformats.org/officeDocument/2006/relationships/hyperlink" Target="https://licenta-disertatie-romania.com/contact/" TargetMode="External"/><Relationship Id="rId10" Type="http://schemas.openxmlformats.org/officeDocument/2006/relationships/image" Target="media/5f66de3360ebcdaa7a17318aec9ca3eb4605ffc1.png"/><Relationship Id="rId11" Type="http://schemas.openxmlformats.org/officeDocument/2006/relationships/image" Target="media/aa58f856606d35ce2180975c4f8bdaf9f39170ca.png"/><Relationship Id="rId12" Type="http://schemas.openxmlformats.org/officeDocument/2006/relationships/image" Target="media/72cfced419622396429eeee14c4d8244ca5952dc.png"/><Relationship Id="rId13" Type="http://schemas.openxmlformats.org/officeDocument/2006/relationships/image" Target="media/32b7a747f6ca724f8e233960fb8a2cb45dc4082a.png"/><Relationship Id="rId14" Type="http://schemas.openxmlformats.org/officeDocument/2006/relationships/image" Target="media/d24aeda06d209aa47d989484e040d02547f3c221.png"/><Relationship Id="rId15" Type="http://schemas.openxmlformats.org/officeDocument/2006/relationships/image" Target="media/f80c0afe88278977b09cb9bb49db10659913209d.png"/><Relationship Id="rId16" Type="http://schemas.openxmlformats.org/officeDocument/2006/relationships/image" Target="media/6ca95002febfc79c379eaf00ec21263f8e91a8e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owrme_d79up34y5-6rm"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uckwsk8dz3jg61ja2nx12"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Biologie</dc:title>
  <dc:creator>Licenta RO</dc:creator>
  <dc:description>Exemplu fictiv cu date simulate: licenta-disertatie-romania.com</dc:description>
  <cp:lastModifiedBy>Un-named</cp:lastModifiedBy>
  <cp:revision>1</cp:revision>
  <dcterms:created xsi:type="dcterms:W3CDTF">2026-10-05T20:23:30.354Z</dcterms:created>
  <dcterms:modified xsi:type="dcterms:W3CDTF">2026-10-05T20:23:30.355Z</dcterms:modified>
</cp:coreProperties>
</file>

<file path=docProps/custom.xml><?xml version="1.0" encoding="utf-8"?>
<Properties xmlns="http://schemas.openxmlformats.org/officeDocument/2006/custom-properties" xmlns:vt="http://schemas.openxmlformats.org/officeDocument/2006/docPropsVTypes"/>
</file>